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222A" w14:textId="77777777" w:rsidR="004C53A8" w:rsidRDefault="004C53A8">
      <w:pPr>
        <w:widowControl w:val="0"/>
        <w:spacing w:before="60" w:after="60"/>
        <w:jc w:val="center"/>
        <w:rPr>
          <w:rFonts w:ascii="Titillium" w:hAnsi="Titillium"/>
          <w:b/>
          <w:sz w:val="36"/>
          <w:szCs w:val="36"/>
          <w:lang w:eastAsia="it-IT"/>
        </w:rPr>
      </w:pPr>
    </w:p>
    <w:p w14:paraId="31FF5464" w14:textId="77777777" w:rsidR="004C53A8" w:rsidRDefault="004C53A8">
      <w:pPr>
        <w:widowControl w:val="0"/>
        <w:spacing w:before="60" w:after="60"/>
        <w:jc w:val="center"/>
        <w:rPr>
          <w:rFonts w:ascii="Titillium" w:hAnsi="Titillium"/>
          <w:b/>
          <w:sz w:val="36"/>
          <w:szCs w:val="36"/>
          <w:lang w:eastAsia="it-IT"/>
        </w:rPr>
      </w:pPr>
    </w:p>
    <w:p w14:paraId="2B553D79" w14:textId="77777777" w:rsidR="004C53A8" w:rsidRDefault="00870286">
      <w:pPr>
        <w:widowControl w:val="0"/>
        <w:spacing w:before="60" w:after="60"/>
        <w:jc w:val="center"/>
        <w:rPr>
          <w:rFonts w:ascii="Titillium" w:hAnsi="Titillium"/>
          <w:b/>
          <w:sz w:val="36"/>
          <w:szCs w:val="36"/>
          <w:lang w:eastAsia="it-IT"/>
        </w:rPr>
      </w:pPr>
      <w:r>
        <w:rPr>
          <w:rFonts w:ascii="Titillium" w:hAnsi="Titillium"/>
          <w:b/>
          <w:sz w:val="36"/>
          <w:szCs w:val="36"/>
          <w:lang w:eastAsia="it-IT"/>
        </w:rPr>
        <w:t xml:space="preserve"> </w:t>
      </w:r>
    </w:p>
    <w:p w14:paraId="002406D4" w14:textId="0A6C7963" w:rsidR="004C53A8" w:rsidRDefault="004C53A8">
      <w:pPr>
        <w:widowControl w:val="0"/>
        <w:spacing w:line="23" w:lineRule="atLeast"/>
        <w:ind w:left="567"/>
        <w:jc w:val="center"/>
        <w:rPr>
          <w:rFonts w:ascii="Titillium" w:hAnsi="Titillium"/>
          <w:b/>
          <w:color w:val="2A6099"/>
          <w:szCs w:val="24"/>
          <w:lang w:eastAsia="it-IT"/>
        </w:rPr>
      </w:pPr>
    </w:p>
    <w:p w14:paraId="0126AB84" w14:textId="77777777" w:rsidR="004C53A8" w:rsidRDefault="004C53A8">
      <w:pPr>
        <w:widowControl w:val="0"/>
        <w:spacing w:line="23" w:lineRule="atLeast"/>
        <w:ind w:left="567"/>
        <w:jc w:val="center"/>
        <w:rPr>
          <w:rFonts w:ascii="Titillium" w:hAnsi="Titillium"/>
          <w:b/>
          <w:color w:val="2A6099"/>
          <w:szCs w:val="24"/>
          <w:lang w:eastAsia="it-IT"/>
        </w:rPr>
      </w:pPr>
    </w:p>
    <w:p w14:paraId="438E98C8" w14:textId="77777777" w:rsidR="004C53A8" w:rsidRDefault="004C53A8">
      <w:pPr>
        <w:widowControl w:val="0"/>
        <w:spacing w:line="23" w:lineRule="atLeast"/>
        <w:ind w:left="567"/>
        <w:jc w:val="center"/>
        <w:rPr>
          <w:rFonts w:ascii="Titillium" w:hAnsi="Titillium"/>
          <w:b/>
          <w:color w:val="2A6099"/>
          <w:szCs w:val="24"/>
          <w:lang w:eastAsia="it-IT"/>
        </w:rPr>
      </w:pPr>
    </w:p>
    <w:p w14:paraId="508810DA" w14:textId="3D597258" w:rsidR="004C53A8" w:rsidRDefault="00870286">
      <w:pPr>
        <w:widowControl w:val="0"/>
        <w:spacing w:line="23" w:lineRule="atLeast"/>
        <w:ind w:left="567"/>
        <w:jc w:val="center"/>
        <w:rPr>
          <w:rFonts w:ascii="Titillium" w:hAnsi="Titillium"/>
          <w:b/>
          <w:color w:val="2A6099"/>
          <w:szCs w:val="24"/>
          <w:lang w:eastAsia="it-IT"/>
        </w:rPr>
      </w:pPr>
      <w:r>
        <w:rPr>
          <w:rFonts w:ascii="Titillium" w:hAnsi="Titillium"/>
          <w:b/>
          <w:color w:val="2A6099"/>
          <w:szCs w:val="24"/>
          <w:lang w:eastAsia="it-IT"/>
        </w:rPr>
        <w:t xml:space="preserve">Bando tipo n. </w:t>
      </w:r>
      <w:r w:rsidR="00B323B8">
        <w:rPr>
          <w:rFonts w:ascii="Titillium" w:hAnsi="Titillium"/>
          <w:b/>
          <w:color w:val="2A6099"/>
          <w:szCs w:val="24"/>
          <w:lang w:eastAsia="it-IT"/>
        </w:rPr>
        <w:t>1</w:t>
      </w:r>
      <w:r>
        <w:rPr>
          <w:rFonts w:ascii="Titillium" w:hAnsi="Titillium"/>
          <w:b/>
          <w:color w:val="2A6099"/>
          <w:szCs w:val="24"/>
          <w:lang w:eastAsia="it-IT"/>
        </w:rPr>
        <w:t>/2021</w:t>
      </w:r>
    </w:p>
    <w:p w14:paraId="0EFB5257" w14:textId="77777777" w:rsidR="004C53A8" w:rsidRDefault="004C53A8">
      <w:pPr>
        <w:widowControl w:val="0"/>
        <w:spacing w:before="60" w:after="60"/>
        <w:rPr>
          <w:rFonts w:ascii="Titillium" w:hAnsi="Titillium"/>
          <w:b/>
          <w:sz w:val="36"/>
          <w:szCs w:val="36"/>
          <w:lang w:eastAsia="it-IT"/>
        </w:rPr>
      </w:pPr>
    </w:p>
    <w:p w14:paraId="5A929099" w14:textId="77777777" w:rsidR="004C53A8" w:rsidRDefault="004C53A8">
      <w:pPr>
        <w:widowControl w:val="0"/>
        <w:spacing w:before="60" w:after="60"/>
        <w:rPr>
          <w:rFonts w:ascii="Titillium" w:hAnsi="Titillium"/>
          <w:b/>
          <w:sz w:val="36"/>
          <w:szCs w:val="36"/>
          <w:lang w:eastAsia="it-IT"/>
        </w:rPr>
      </w:pPr>
    </w:p>
    <w:p w14:paraId="43C211E0" w14:textId="77777777" w:rsidR="004C53A8" w:rsidRDefault="004C53A8">
      <w:pPr>
        <w:widowControl w:val="0"/>
        <w:spacing w:before="60" w:after="60"/>
        <w:rPr>
          <w:rFonts w:ascii="Titillium" w:hAnsi="Titillium"/>
          <w:b/>
          <w:sz w:val="36"/>
          <w:szCs w:val="36"/>
          <w:lang w:eastAsia="it-IT"/>
        </w:rPr>
      </w:pPr>
    </w:p>
    <w:p w14:paraId="0734A57B" w14:textId="77777777" w:rsidR="004C53A8" w:rsidRDefault="004C53A8">
      <w:pPr>
        <w:widowControl w:val="0"/>
        <w:spacing w:before="60" w:after="60"/>
        <w:rPr>
          <w:rFonts w:ascii="Titillium" w:hAnsi="Titillium"/>
          <w:b/>
          <w:sz w:val="36"/>
          <w:szCs w:val="36"/>
          <w:lang w:eastAsia="it-IT"/>
        </w:rPr>
      </w:pPr>
    </w:p>
    <w:p w14:paraId="09BD10C4" w14:textId="77777777" w:rsidR="004C53A8" w:rsidRDefault="00870286">
      <w:pPr>
        <w:widowControl w:val="0"/>
        <w:spacing w:line="23" w:lineRule="atLeast"/>
        <w:ind w:left="567"/>
        <w:jc w:val="center"/>
        <w:rPr>
          <w:rFonts w:ascii="Titillium" w:hAnsi="Titillium"/>
          <w:b/>
          <w:szCs w:val="24"/>
          <w:lang w:eastAsia="it-IT"/>
        </w:rPr>
      </w:pPr>
      <w:r>
        <w:rPr>
          <w:rFonts w:ascii="Titillium" w:hAnsi="Titillium"/>
          <w:b/>
          <w:szCs w:val="24"/>
          <w:lang w:eastAsia="it-IT"/>
        </w:rPr>
        <w:t>Schema di disciplinare di gara</w:t>
      </w:r>
    </w:p>
    <w:p w14:paraId="3538E1B5" w14:textId="77777777" w:rsidR="004C53A8" w:rsidRDefault="004C53A8">
      <w:pPr>
        <w:widowControl w:val="0"/>
        <w:spacing w:line="23" w:lineRule="atLeast"/>
        <w:ind w:left="567"/>
        <w:rPr>
          <w:rFonts w:ascii="Titillium" w:hAnsi="Titillium"/>
          <w:b/>
          <w:szCs w:val="24"/>
          <w:lang w:eastAsia="it-IT"/>
        </w:rPr>
      </w:pPr>
    </w:p>
    <w:p w14:paraId="6237A090" w14:textId="77777777" w:rsidR="004C53A8" w:rsidRDefault="004C53A8">
      <w:pPr>
        <w:widowControl w:val="0"/>
        <w:spacing w:line="23" w:lineRule="atLeast"/>
        <w:ind w:left="567"/>
        <w:rPr>
          <w:rFonts w:ascii="Titillium" w:hAnsi="Titillium"/>
          <w:b/>
          <w:szCs w:val="24"/>
          <w:lang w:eastAsia="it-IT"/>
        </w:rPr>
      </w:pPr>
      <w:bookmarkStart w:id="0" w:name="_GoBack"/>
      <w:bookmarkEnd w:id="0"/>
    </w:p>
    <w:p w14:paraId="0B179CEA" w14:textId="77777777" w:rsidR="004C53A8" w:rsidRDefault="004C53A8">
      <w:pPr>
        <w:widowControl w:val="0"/>
        <w:spacing w:line="23" w:lineRule="atLeast"/>
        <w:ind w:left="567"/>
        <w:rPr>
          <w:rFonts w:ascii="Titillium" w:hAnsi="Titillium"/>
          <w:b/>
          <w:szCs w:val="24"/>
          <w:lang w:eastAsia="it-IT"/>
        </w:rPr>
      </w:pPr>
    </w:p>
    <w:p w14:paraId="23EB865D" w14:textId="77777777" w:rsidR="004C53A8" w:rsidRDefault="00870286">
      <w:pPr>
        <w:widowControl w:val="0"/>
        <w:spacing w:line="23" w:lineRule="atLeast"/>
        <w:ind w:left="567"/>
        <w:rPr>
          <w:rFonts w:ascii="Titillium" w:hAnsi="Titillium"/>
          <w:b/>
          <w:szCs w:val="24"/>
          <w:lang w:eastAsia="it-IT"/>
        </w:rPr>
      </w:pPr>
      <w:r>
        <w:rPr>
          <w:rFonts w:ascii="Titillium" w:hAnsi="Titillium"/>
          <w:b/>
          <w:szCs w:val="24"/>
          <w:lang w:eastAsia="it-IT"/>
        </w:rPr>
        <w:t>Procedura aperta telematica per l’affidamento di contratti pubblici di servizi e forniture nei settori ordinari sopra soglia comunitaria con il criterio dell’offerta economicamente più vantaggiosa sulla base del miglior rapporto qualità/prezzo</w:t>
      </w:r>
    </w:p>
    <w:p w14:paraId="283830B6" w14:textId="77777777" w:rsidR="00C87E4F" w:rsidRDefault="00C87E4F" w:rsidP="00A34DFE">
      <w:pPr>
        <w:widowControl w:val="0"/>
        <w:spacing w:before="60" w:after="60"/>
        <w:ind w:left="567"/>
        <w:rPr>
          <w:rFonts w:ascii="Titillium" w:hAnsi="Titillium"/>
          <w:color w:val="FF0000"/>
          <w:sz w:val="20"/>
          <w:szCs w:val="20"/>
          <w:lang w:eastAsia="it-IT"/>
        </w:rPr>
      </w:pPr>
    </w:p>
    <w:p w14:paraId="09DA787C" w14:textId="482A1553" w:rsidR="004C53A8" w:rsidRPr="00D372C4" w:rsidRDefault="00250E40" w:rsidP="002D6C21">
      <w:pPr>
        <w:widowControl w:val="0"/>
        <w:spacing w:before="60" w:after="60"/>
        <w:ind w:left="567"/>
        <w:rPr>
          <w:rFonts w:ascii="Titillium" w:hAnsi="Titillium"/>
          <w:b/>
          <w:sz w:val="36"/>
          <w:szCs w:val="36"/>
          <w:lang w:eastAsia="it-IT"/>
        </w:rPr>
      </w:pPr>
      <w:r w:rsidRPr="00D372C4">
        <w:rPr>
          <w:rFonts w:ascii="Titillium" w:hAnsi="Titillium"/>
          <w:sz w:val="20"/>
          <w:szCs w:val="20"/>
          <w:lang w:eastAsia="it-IT"/>
        </w:rPr>
        <w:t>[A</w:t>
      </w:r>
      <w:r w:rsidR="002D6C21" w:rsidRPr="00D372C4">
        <w:rPr>
          <w:rFonts w:ascii="Titillium" w:hAnsi="Titillium"/>
          <w:sz w:val="20"/>
          <w:szCs w:val="20"/>
          <w:lang w:eastAsia="it-IT"/>
        </w:rPr>
        <w:t>ggiornat</w:t>
      </w:r>
      <w:r w:rsidR="00AE2617" w:rsidRPr="00D372C4">
        <w:rPr>
          <w:rFonts w:ascii="Titillium" w:hAnsi="Titillium"/>
          <w:sz w:val="20"/>
          <w:szCs w:val="20"/>
          <w:lang w:eastAsia="it-IT"/>
        </w:rPr>
        <w:t>o</w:t>
      </w:r>
      <w:r w:rsidR="002D6C21" w:rsidRPr="00D372C4">
        <w:rPr>
          <w:rFonts w:ascii="Titillium" w:hAnsi="Titillium"/>
          <w:sz w:val="20"/>
          <w:szCs w:val="20"/>
          <w:lang w:eastAsia="it-IT"/>
        </w:rPr>
        <w:t xml:space="preserve"> al Decreto della Presidenza del Consiglio dei Ministri, Dipartimento delle pari opportunità, del 7 dicembre 2021 e al decreto legge 27 gennaio 2022, n. 4</w:t>
      </w:r>
      <w:r w:rsidR="00D17AA2" w:rsidRPr="00D372C4">
        <w:rPr>
          <w:rFonts w:ascii="Titillium" w:hAnsi="Titillium"/>
          <w:sz w:val="20"/>
          <w:szCs w:val="20"/>
          <w:lang w:eastAsia="it-IT"/>
        </w:rPr>
        <w:t>, convertito con legge n. 25 del 28 marzo 2022</w:t>
      </w:r>
      <w:r w:rsidR="002D6C21" w:rsidRPr="00D372C4">
        <w:rPr>
          <w:rFonts w:ascii="Titillium" w:hAnsi="Titillium"/>
          <w:sz w:val="20"/>
          <w:szCs w:val="20"/>
          <w:lang w:eastAsia="it-IT"/>
        </w:rPr>
        <w:t>]</w:t>
      </w:r>
    </w:p>
    <w:p w14:paraId="1D4CF175" w14:textId="77777777" w:rsidR="004C53A8" w:rsidRDefault="004C53A8">
      <w:pPr>
        <w:widowControl w:val="0"/>
        <w:spacing w:before="60" w:after="60"/>
        <w:rPr>
          <w:rFonts w:ascii="Titillium" w:hAnsi="Titillium"/>
          <w:b/>
          <w:sz w:val="36"/>
          <w:szCs w:val="36"/>
          <w:lang w:eastAsia="it-IT"/>
        </w:rPr>
      </w:pPr>
    </w:p>
    <w:p w14:paraId="2BD7E920" w14:textId="77777777" w:rsidR="004C53A8" w:rsidRDefault="004C53A8">
      <w:pPr>
        <w:widowControl w:val="0"/>
        <w:spacing w:before="60" w:after="60"/>
        <w:rPr>
          <w:rFonts w:ascii="Titillium" w:hAnsi="Titillium"/>
          <w:b/>
          <w:sz w:val="36"/>
          <w:szCs w:val="36"/>
          <w:lang w:eastAsia="it-IT"/>
        </w:rPr>
      </w:pPr>
    </w:p>
    <w:p w14:paraId="37E71C0B" w14:textId="44CDBFC8" w:rsidR="004C53A8" w:rsidRDefault="00870286" w:rsidP="00250E40">
      <w:pPr>
        <w:widowControl w:val="0"/>
        <w:spacing w:before="60" w:after="60"/>
        <w:ind w:firstLine="567"/>
        <w:jc w:val="left"/>
        <w:rPr>
          <w:rFonts w:ascii="Titillium" w:hAnsi="Titillium"/>
          <w:b/>
          <w:w w:val="66"/>
          <w:szCs w:val="24"/>
          <w:lang w:eastAsia="it-IT"/>
        </w:rPr>
      </w:pPr>
      <w:r>
        <w:rPr>
          <w:rFonts w:ascii="Titillium" w:hAnsi="Titillium"/>
          <w:sz w:val="18"/>
          <w:szCs w:val="18"/>
          <w:lang w:eastAsia="it-IT"/>
        </w:rPr>
        <w:t>Approvato dal Consiglio dell’Autorità con delibera n.</w:t>
      </w:r>
      <w:r w:rsidR="00743A10">
        <w:rPr>
          <w:rFonts w:ascii="Titillium" w:hAnsi="Titillium"/>
          <w:sz w:val="18"/>
          <w:szCs w:val="18"/>
          <w:lang w:eastAsia="it-IT"/>
        </w:rPr>
        <w:t xml:space="preserve"> 154 del 16 marzo 2022.</w:t>
      </w:r>
      <w:r>
        <w:rPr>
          <w:rFonts w:ascii="Titillium" w:hAnsi="Titillium"/>
          <w:sz w:val="18"/>
          <w:szCs w:val="18"/>
          <w:lang w:eastAsia="it-IT"/>
        </w:rPr>
        <w:t xml:space="preserve"> </w:t>
      </w:r>
      <w:r>
        <w:br w:type="page"/>
      </w:r>
    </w:p>
    <w:p w14:paraId="382BA77D" w14:textId="77777777" w:rsidR="004C53A8" w:rsidRDefault="004C53A8">
      <w:pPr>
        <w:spacing w:line="240" w:lineRule="auto"/>
        <w:jc w:val="left"/>
        <w:rPr>
          <w:rFonts w:ascii="Titillium" w:hAnsi="Titillium"/>
          <w:b/>
          <w:w w:val="66"/>
          <w:szCs w:val="24"/>
          <w:lang w:eastAsia="it-IT"/>
        </w:rPr>
      </w:pPr>
    </w:p>
    <w:sdt>
      <w:sdtPr>
        <w:rPr>
          <w:b/>
          <w:bCs w:val="0"/>
          <w:smallCaps/>
        </w:rPr>
        <w:id w:val="150880778"/>
        <w:docPartObj>
          <w:docPartGallery w:val="Table of Contents"/>
          <w:docPartUnique/>
        </w:docPartObj>
      </w:sdtPr>
      <w:sdtEndPr>
        <w:rPr>
          <w:b w:val="0"/>
        </w:rPr>
      </w:sdtEndPr>
      <w:sdtContent>
        <w:p w14:paraId="6FAD12C5" w14:textId="23D89F36" w:rsidR="006574B4" w:rsidRDefault="00870286">
          <w:pPr>
            <w:pStyle w:val="Sommario1"/>
            <w:rPr>
              <w:rFonts w:asciiTheme="minorHAnsi" w:eastAsiaTheme="minorEastAsia" w:hAnsiTheme="minorHAnsi" w:cstheme="minorBidi"/>
              <w:bCs w:val="0"/>
              <w:noProof/>
              <w:sz w:val="22"/>
              <w:szCs w:val="22"/>
              <w:lang w:eastAsia="it-IT"/>
            </w:rPr>
          </w:pPr>
          <w:r>
            <w:rPr>
              <w:b/>
              <w:sz w:val="22"/>
            </w:rPr>
            <w:fldChar w:fldCharType="begin"/>
          </w:r>
          <w:r>
            <w:rPr>
              <w:rStyle w:val="Saltoaindice"/>
              <w:rFonts w:ascii="Titillium" w:hAnsi="Titillium"/>
            </w:rPr>
            <w:instrText>TOC \o "1-3" \h</w:instrText>
          </w:r>
          <w:r>
            <w:rPr>
              <w:rStyle w:val="Saltoaindice"/>
              <w:rFonts w:ascii="Titillium" w:hAnsi="Titillium"/>
              <w:b/>
              <w:sz w:val="22"/>
            </w:rPr>
            <w:fldChar w:fldCharType="separate"/>
          </w:r>
          <w:hyperlink w:anchor="_Toc95495870" w:history="1">
            <w:r w:rsidR="006574B4" w:rsidRPr="001535DD">
              <w:rPr>
                <w:rStyle w:val="Collegamentoipertestuale"/>
                <w:rFonts w:ascii="Titillium" w:hAnsi="Titillium"/>
                <w:noProof/>
              </w:rPr>
              <w:t>AMBITO DI APPLICAZIONE E ISTRUZIONI PER LA COMPILAZIONE</w:t>
            </w:r>
            <w:r w:rsidR="006574B4">
              <w:rPr>
                <w:noProof/>
              </w:rPr>
              <w:tab/>
            </w:r>
            <w:r w:rsidR="006574B4">
              <w:rPr>
                <w:noProof/>
              </w:rPr>
              <w:fldChar w:fldCharType="begin"/>
            </w:r>
            <w:r w:rsidR="006574B4">
              <w:rPr>
                <w:noProof/>
              </w:rPr>
              <w:instrText xml:space="preserve"> PAGEREF _Toc95495870 \h </w:instrText>
            </w:r>
            <w:r w:rsidR="006574B4">
              <w:rPr>
                <w:noProof/>
              </w:rPr>
            </w:r>
            <w:r w:rsidR="006574B4">
              <w:rPr>
                <w:noProof/>
              </w:rPr>
              <w:fldChar w:fldCharType="separate"/>
            </w:r>
            <w:r w:rsidR="006F0CBC">
              <w:rPr>
                <w:noProof/>
              </w:rPr>
              <w:t>4</w:t>
            </w:r>
            <w:r w:rsidR="006574B4">
              <w:rPr>
                <w:noProof/>
              </w:rPr>
              <w:fldChar w:fldCharType="end"/>
            </w:r>
          </w:hyperlink>
        </w:p>
        <w:p w14:paraId="5DB606A0" w14:textId="21566998" w:rsidR="006574B4" w:rsidRDefault="00D372C4">
          <w:pPr>
            <w:pStyle w:val="Sommario1"/>
            <w:rPr>
              <w:rFonts w:asciiTheme="minorHAnsi" w:eastAsiaTheme="minorEastAsia" w:hAnsiTheme="minorHAnsi" w:cstheme="minorBidi"/>
              <w:bCs w:val="0"/>
              <w:noProof/>
              <w:sz w:val="22"/>
              <w:szCs w:val="22"/>
              <w:lang w:eastAsia="it-IT"/>
            </w:rPr>
          </w:pPr>
          <w:hyperlink w:anchor="_Toc95495871" w:history="1">
            <w:r w:rsidR="006574B4" w:rsidRPr="001535DD">
              <w:rPr>
                <w:rStyle w:val="Collegamentoipertestuale"/>
                <w:rFonts w:ascii="Titillium" w:hAnsi="Titillium"/>
                <w:noProof/>
              </w:rPr>
              <w:t>DISCIPLINARE DI GARA</w:t>
            </w:r>
            <w:r w:rsidR="006574B4">
              <w:rPr>
                <w:noProof/>
              </w:rPr>
              <w:tab/>
            </w:r>
            <w:r w:rsidR="006574B4">
              <w:rPr>
                <w:noProof/>
              </w:rPr>
              <w:fldChar w:fldCharType="begin"/>
            </w:r>
            <w:r w:rsidR="006574B4">
              <w:rPr>
                <w:noProof/>
              </w:rPr>
              <w:instrText xml:space="preserve"> PAGEREF _Toc95495871 \h </w:instrText>
            </w:r>
            <w:r w:rsidR="006574B4">
              <w:rPr>
                <w:noProof/>
              </w:rPr>
            </w:r>
            <w:r w:rsidR="006574B4">
              <w:rPr>
                <w:noProof/>
              </w:rPr>
              <w:fldChar w:fldCharType="separate"/>
            </w:r>
            <w:r w:rsidR="006F0CBC">
              <w:rPr>
                <w:noProof/>
              </w:rPr>
              <w:t>6</w:t>
            </w:r>
            <w:r w:rsidR="006574B4">
              <w:rPr>
                <w:noProof/>
              </w:rPr>
              <w:fldChar w:fldCharType="end"/>
            </w:r>
          </w:hyperlink>
        </w:p>
        <w:p w14:paraId="2B291A18" w14:textId="0EF96DFF" w:rsidR="006574B4" w:rsidRDefault="00D372C4">
          <w:pPr>
            <w:pStyle w:val="Sommario2"/>
            <w:rPr>
              <w:rFonts w:asciiTheme="minorHAnsi" w:eastAsiaTheme="minorEastAsia" w:hAnsiTheme="minorHAnsi" w:cstheme="minorBidi"/>
              <w:smallCaps w:val="0"/>
              <w:noProof/>
              <w:sz w:val="22"/>
              <w:szCs w:val="22"/>
              <w:lang w:eastAsia="it-IT"/>
            </w:rPr>
          </w:pPr>
          <w:hyperlink w:anchor="_Toc95495872" w:history="1">
            <w:r w:rsidR="006574B4" w:rsidRPr="001535DD">
              <w:rPr>
                <w:rStyle w:val="Collegamentoipertestuale"/>
                <w:rFonts w:ascii="Titillium" w:hAnsi="Titillium"/>
                <w:noProof/>
              </w:rPr>
              <w:t>PREMESSE</w:t>
            </w:r>
            <w:r w:rsidR="006574B4">
              <w:rPr>
                <w:noProof/>
              </w:rPr>
              <w:tab/>
            </w:r>
            <w:r w:rsidR="006574B4">
              <w:rPr>
                <w:noProof/>
              </w:rPr>
              <w:fldChar w:fldCharType="begin"/>
            </w:r>
            <w:r w:rsidR="006574B4">
              <w:rPr>
                <w:noProof/>
              </w:rPr>
              <w:instrText xml:space="preserve"> PAGEREF _Toc95495872 \h </w:instrText>
            </w:r>
            <w:r w:rsidR="006574B4">
              <w:rPr>
                <w:noProof/>
              </w:rPr>
            </w:r>
            <w:r w:rsidR="006574B4">
              <w:rPr>
                <w:noProof/>
              </w:rPr>
              <w:fldChar w:fldCharType="separate"/>
            </w:r>
            <w:r w:rsidR="006F0CBC">
              <w:rPr>
                <w:noProof/>
              </w:rPr>
              <w:t>6</w:t>
            </w:r>
            <w:r w:rsidR="006574B4">
              <w:rPr>
                <w:noProof/>
              </w:rPr>
              <w:fldChar w:fldCharType="end"/>
            </w:r>
          </w:hyperlink>
        </w:p>
        <w:p w14:paraId="62DAC8C2" w14:textId="4792CA93" w:rsidR="006574B4" w:rsidRDefault="00D372C4">
          <w:pPr>
            <w:pStyle w:val="Sommario2"/>
            <w:rPr>
              <w:rFonts w:asciiTheme="minorHAnsi" w:eastAsiaTheme="minorEastAsia" w:hAnsiTheme="minorHAnsi" w:cstheme="minorBidi"/>
              <w:smallCaps w:val="0"/>
              <w:noProof/>
              <w:sz w:val="22"/>
              <w:szCs w:val="22"/>
              <w:lang w:eastAsia="it-IT"/>
            </w:rPr>
          </w:pPr>
          <w:hyperlink w:anchor="_Toc95495873" w:history="1">
            <w:r w:rsidR="006574B4" w:rsidRPr="001535DD">
              <w:rPr>
                <w:rStyle w:val="Collegamentoipertestuale"/>
                <w:rFonts w:ascii="Titillium" w:hAnsi="Titillium"/>
                <w:noProof/>
              </w:rPr>
              <w:t>1.</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PIATTAFORMA TELEMATICA</w:t>
            </w:r>
            <w:r w:rsidR="006574B4">
              <w:rPr>
                <w:noProof/>
              </w:rPr>
              <w:tab/>
            </w:r>
            <w:r w:rsidR="006574B4">
              <w:rPr>
                <w:noProof/>
              </w:rPr>
              <w:fldChar w:fldCharType="begin"/>
            </w:r>
            <w:r w:rsidR="006574B4">
              <w:rPr>
                <w:noProof/>
              </w:rPr>
              <w:instrText xml:space="preserve"> PAGEREF _Toc95495873 \h </w:instrText>
            </w:r>
            <w:r w:rsidR="006574B4">
              <w:rPr>
                <w:noProof/>
              </w:rPr>
            </w:r>
            <w:r w:rsidR="006574B4">
              <w:rPr>
                <w:noProof/>
              </w:rPr>
              <w:fldChar w:fldCharType="separate"/>
            </w:r>
            <w:r w:rsidR="006F0CBC">
              <w:rPr>
                <w:noProof/>
              </w:rPr>
              <w:t>6</w:t>
            </w:r>
            <w:r w:rsidR="006574B4">
              <w:rPr>
                <w:noProof/>
              </w:rPr>
              <w:fldChar w:fldCharType="end"/>
            </w:r>
          </w:hyperlink>
        </w:p>
        <w:p w14:paraId="7E54A399" w14:textId="6CA146A6" w:rsidR="006574B4" w:rsidRDefault="00D372C4">
          <w:pPr>
            <w:pStyle w:val="Sommario3"/>
            <w:rPr>
              <w:rFonts w:asciiTheme="minorHAnsi" w:eastAsiaTheme="minorEastAsia" w:hAnsiTheme="minorHAnsi" w:cstheme="minorBidi"/>
              <w:iCs w:val="0"/>
              <w:noProof/>
              <w:sz w:val="22"/>
              <w:szCs w:val="22"/>
              <w:lang w:eastAsia="it-IT"/>
            </w:rPr>
          </w:pPr>
          <w:hyperlink w:anchor="_Toc95495874" w:history="1">
            <w:r w:rsidR="006574B4" w:rsidRPr="001535DD">
              <w:rPr>
                <w:rStyle w:val="Collegamentoipertestuale"/>
                <w:rFonts w:ascii="Titillium" w:hAnsi="Titillium"/>
                <w:noProof/>
              </w:rPr>
              <w:t>1.1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LA PIATTAFORMA TELEMATICA DI NEGOZIAZIONE</w:t>
            </w:r>
            <w:r w:rsidR="006574B4">
              <w:rPr>
                <w:noProof/>
              </w:rPr>
              <w:tab/>
            </w:r>
            <w:r w:rsidR="006574B4">
              <w:rPr>
                <w:noProof/>
              </w:rPr>
              <w:fldChar w:fldCharType="begin"/>
            </w:r>
            <w:r w:rsidR="006574B4">
              <w:rPr>
                <w:noProof/>
              </w:rPr>
              <w:instrText xml:space="preserve"> PAGEREF _Toc95495874 \h </w:instrText>
            </w:r>
            <w:r w:rsidR="006574B4">
              <w:rPr>
                <w:noProof/>
              </w:rPr>
            </w:r>
            <w:r w:rsidR="006574B4">
              <w:rPr>
                <w:noProof/>
              </w:rPr>
              <w:fldChar w:fldCharType="separate"/>
            </w:r>
            <w:r w:rsidR="006F0CBC">
              <w:rPr>
                <w:noProof/>
              </w:rPr>
              <w:t>6</w:t>
            </w:r>
            <w:r w:rsidR="006574B4">
              <w:rPr>
                <w:noProof/>
              </w:rPr>
              <w:fldChar w:fldCharType="end"/>
            </w:r>
          </w:hyperlink>
        </w:p>
        <w:p w14:paraId="10151EB8" w14:textId="29F55FA2" w:rsidR="006574B4" w:rsidRDefault="00D372C4">
          <w:pPr>
            <w:pStyle w:val="Sommario3"/>
            <w:rPr>
              <w:rFonts w:asciiTheme="minorHAnsi" w:eastAsiaTheme="minorEastAsia" w:hAnsiTheme="minorHAnsi" w:cstheme="minorBidi"/>
              <w:iCs w:val="0"/>
              <w:noProof/>
              <w:sz w:val="22"/>
              <w:szCs w:val="22"/>
              <w:lang w:eastAsia="it-IT"/>
            </w:rPr>
          </w:pPr>
          <w:hyperlink w:anchor="_Toc95495875" w:history="1">
            <w:r w:rsidR="006574B4" w:rsidRPr="001535DD">
              <w:rPr>
                <w:rStyle w:val="Collegamentoipertestuale"/>
                <w:rFonts w:ascii="Titillium" w:hAnsi="Titillium"/>
                <w:noProof/>
              </w:rPr>
              <w:t>1.2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DOTAZIONI TECNICHE</w:t>
            </w:r>
            <w:r w:rsidR="006574B4">
              <w:rPr>
                <w:noProof/>
              </w:rPr>
              <w:tab/>
            </w:r>
            <w:r w:rsidR="006574B4">
              <w:rPr>
                <w:noProof/>
              </w:rPr>
              <w:fldChar w:fldCharType="begin"/>
            </w:r>
            <w:r w:rsidR="006574B4">
              <w:rPr>
                <w:noProof/>
              </w:rPr>
              <w:instrText xml:space="preserve"> PAGEREF _Toc95495875 \h </w:instrText>
            </w:r>
            <w:r w:rsidR="006574B4">
              <w:rPr>
                <w:noProof/>
              </w:rPr>
            </w:r>
            <w:r w:rsidR="006574B4">
              <w:rPr>
                <w:noProof/>
              </w:rPr>
              <w:fldChar w:fldCharType="separate"/>
            </w:r>
            <w:r w:rsidR="006F0CBC">
              <w:rPr>
                <w:noProof/>
              </w:rPr>
              <w:t>7</w:t>
            </w:r>
            <w:r w:rsidR="006574B4">
              <w:rPr>
                <w:noProof/>
              </w:rPr>
              <w:fldChar w:fldCharType="end"/>
            </w:r>
          </w:hyperlink>
        </w:p>
        <w:p w14:paraId="15482F52" w14:textId="6EF6021C" w:rsidR="006574B4" w:rsidRDefault="00D372C4">
          <w:pPr>
            <w:pStyle w:val="Sommario3"/>
            <w:rPr>
              <w:rFonts w:asciiTheme="minorHAnsi" w:eastAsiaTheme="minorEastAsia" w:hAnsiTheme="minorHAnsi" w:cstheme="minorBidi"/>
              <w:iCs w:val="0"/>
              <w:noProof/>
              <w:sz w:val="22"/>
              <w:szCs w:val="22"/>
              <w:lang w:eastAsia="it-IT"/>
            </w:rPr>
          </w:pPr>
          <w:hyperlink w:anchor="_Toc95495876" w:history="1">
            <w:r w:rsidR="006574B4" w:rsidRPr="001535DD">
              <w:rPr>
                <w:rStyle w:val="Collegamentoipertestuale"/>
                <w:rFonts w:ascii="Titillium" w:hAnsi="Titillium"/>
                <w:noProof/>
              </w:rPr>
              <w:t>1.3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IDENTIFICAZIONE</w:t>
            </w:r>
            <w:r w:rsidR="006574B4">
              <w:rPr>
                <w:noProof/>
              </w:rPr>
              <w:tab/>
            </w:r>
            <w:r w:rsidR="006574B4">
              <w:rPr>
                <w:noProof/>
              </w:rPr>
              <w:fldChar w:fldCharType="begin"/>
            </w:r>
            <w:r w:rsidR="006574B4">
              <w:rPr>
                <w:noProof/>
              </w:rPr>
              <w:instrText xml:space="preserve"> PAGEREF _Toc95495876 \h </w:instrText>
            </w:r>
            <w:r w:rsidR="006574B4">
              <w:rPr>
                <w:noProof/>
              </w:rPr>
            </w:r>
            <w:r w:rsidR="006574B4">
              <w:rPr>
                <w:noProof/>
              </w:rPr>
              <w:fldChar w:fldCharType="separate"/>
            </w:r>
            <w:r w:rsidR="006F0CBC">
              <w:rPr>
                <w:noProof/>
              </w:rPr>
              <w:t>8</w:t>
            </w:r>
            <w:r w:rsidR="006574B4">
              <w:rPr>
                <w:noProof/>
              </w:rPr>
              <w:fldChar w:fldCharType="end"/>
            </w:r>
          </w:hyperlink>
        </w:p>
        <w:p w14:paraId="0D4C124B" w14:textId="38B30448" w:rsidR="006574B4" w:rsidRDefault="00D372C4">
          <w:pPr>
            <w:pStyle w:val="Sommario2"/>
            <w:rPr>
              <w:rFonts w:asciiTheme="minorHAnsi" w:eastAsiaTheme="minorEastAsia" w:hAnsiTheme="minorHAnsi" w:cstheme="minorBidi"/>
              <w:smallCaps w:val="0"/>
              <w:noProof/>
              <w:sz w:val="22"/>
              <w:szCs w:val="22"/>
              <w:lang w:eastAsia="it-IT"/>
            </w:rPr>
          </w:pPr>
          <w:hyperlink w:anchor="_Toc95495877" w:history="1">
            <w:r w:rsidR="006574B4" w:rsidRPr="001535DD">
              <w:rPr>
                <w:rStyle w:val="Collegamentoipertestuale"/>
                <w:rFonts w:ascii="Titillium" w:hAnsi="Titillium"/>
                <w:noProof/>
              </w:rPr>
              <w:t>2.</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DOCUMENTAZIONE DI GARA, CHIARIMENTI E COMUNICAZIONI</w:t>
            </w:r>
            <w:r w:rsidR="006574B4">
              <w:rPr>
                <w:noProof/>
              </w:rPr>
              <w:tab/>
            </w:r>
            <w:r w:rsidR="006574B4">
              <w:rPr>
                <w:noProof/>
              </w:rPr>
              <w:fldChar w:fldCharType="begin"/>
            </w:r>
            <w:r w:rsidR="006574B4">
              <w:rPr>
                <w:noProof/>
              </w:rPr>
              <w:instrText xml:space="preserve"> PAGEREF _Toc95495877 \h </w:instrText>
            </w:r>
            <w:r w:rsidR="006574B4">
              <w:rPr>
                <w:noProof/>
              </w:rPr>
            </w:r>
            <w:r w:rsidR="006574B4">
              <w:rPr>
                <w:noProof/>
              </w:rPr>
              <w:fldChar w:fldCharType="separate"/>
            </w:r>
            <w:r w:rsidR="006F0CBC">
              <w:rPr>
                <w:noProof/>
              </w:rPr>
              <w:t>9</w:t>
            </w:r>
            <w:r w:rsidR="006574B4">
              <w:rPr>
                <w:noProof/>
              </w:rPr>
              <w:fldChar w:fldCharType="end"/>
            </w:r>
          </w:hyperlink>
        </w:p>
        <w:p w14:paraId="3A666EE2" w14:textId="1C9D846B" w:rsidR="006574B4" w:rsidRDefault="00D372C4">
          <w:pPr>
            <w:pStyle w:val="Sommario3"/>
            <w:rPr>
              <w:rFonts w:asciiTheme="minorHAnsi" w:eastAsiaTheme="minorEastAsia" w:hAnsiTheme="minorHAnsi" w:cstheme="minorBidi"/>
              <w:iCs w:val="0"/>
              <w:noProof/>
              <w:sz w:val="22"/>
              <w:szCs w:val="22"/>
              <w:lang w:eastAsia="it-IT"/>
            </w:rPr>
          </w:pPr>
          <w:hyperlink w:anchor="_Toc95495878" w:history="1">
            <w:r w:rsidR="006574B4" w:rsidRPr="001535DD">
              <w:rPr>
                <w:rStyle w:val="Collegamentoipertestuale"/>
                <w:rFonts w:ascii="Titillium" w:hAnsi="Titillium"/>
                <w:noProof/>
              </w:rPr>
              <w:t>2.1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DOCUMENTI DI GARA</w:t>
            </w:r>
            <w:r w:rsidR="006574B4">
              <w:rPr>
                <w:noProof/>
              </w:rPr>
              <w:tab/>
            </w:r>
            <w:r w:rsidR="006574B4">
              <w:rPr>
                <w:noProof/>
              </w:rPr>
              <w:fldChar w:fldCharType="begin"/>
            </w:r>
            <w:r w:rsidR="006574B4">
              <w:rPr>
                <w:noProof/>
              </w:rPr>
              <w:instrText xml:space="preserve"> PAGEREF _Toc95495878 \h </w:instrText>
            </w:r>
            <w:r w:rsidR="006574B4">
              <w:rPr>
                <w:noProof/>
              </w:rPr>
            </w:r>
            <w:r w:rsidR="006574B4">
              <w:rPr>
                <w:noProof/>
              </w:rPr>
              <w:fldChar w:fldCharType="separate"/>
            </w:r>
            <w:r w:rsidR="006F0CBC">
              <w:rPr>
                <w:noProof/>
              </w:rPr>
              <w:t>9</w:t>
            </w:r>
            <w:r w:rsidR="006574B4">
              <w:rPr>
                <w:noProof/>
              </w:rPr>
              <w:fldChar w:fldCharType="end"/>
            </w:r>
          </w:hyperlink>
        </w:p>
        <w:p w14:paraId="06B8B151" w14:textId="7961B7AB" w:rsidR="006574B4" w:rsidRDefault="00D372C4">
          <w:pPr>
            <w:pStyle w:val="Sommario3"/>
            <w:rPr>
              <w:rFonts w:asciiTheme="minorHAnsi" w:eastAsiaTheme="minorEastAsia" w:hAnsiTheme="minorHAnsi" w:cstheme="minorBidi"/>
              <w:iCs w:val="0"/>
              <w:noProof/>
              <w:sz w:val="22"/>
              <w:szCs w:val="22"/>
              <w:lang w:eastAsia="it-IT"/>
            </w:rPr>
          </w:pPr>
          <w:hyperlink w:anchor="_Toc95495879" w:history="1">
            <w:r w:rsidR="006574B4" w:rsidRPr="001535DD">
              <w:rPr>
                <w:rStyle w:val="Collegamentoipertestuale"/>
                <w:rFonts w:ascii="Titillium" w:hAnsi="Titillium"/>
                <w:noProof/>
              </w:rPr>
              <w:t>2.2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CHIARIMENTI</w:t>
            </w:r>
            <w:r w:rsidR="006574B4">
              <w:rPr>
                <w:noProof/>
              </w:rPr>
              <w:tab/>
            </w:r>
            <w:r w:rsidR="006574B4">
              <w:rPr>
                <w:noProof/>
              </w:rPr>
              <w:fldChar w:fldCharType="begin"/>
            </w:r>
            <w:r w:rsidR="006574B4">
              <w:rPr>
                <w:noProof/>
              </w:rPr>
              <w:instrText xml:space="preserve"> PAGEREF _Toc95495879 \h </w:instrText>
            </w:r>
            <w:r w:rsidR="006574B4">
              <w:rPr>
                <w:noProof/>
              </w:rPr>
            </w:r>
            <w:r w:rsidR="006574B4">
              <w:rPr>
                <w:noProof/>
              </w:rPr>
              <w:fldChar w:fldCharType="separate"/>
            </w:r>
            <w:r w:rsidR="006F0CBC">
              <w:rPr>
                <w:noProof/>
              </w:rPr>
              <w:t>9</w:t>
            </w:r>
            <w:r w:rsidR="006574B4">
              <w:rPr>
                <w:noProof/>
              </w:rPr>
              <w:fldChar w:fldCharType="end"/>
            </w:r>
          </w:hyperlink>
        </w:p>
        <w:p w14:paraId="76772266" w14:textId="2F78881B" w:rsidR="006574B4" w:rsidRDefault="00D372C4">
          <w:pPr>
            <w:pStyle w:val="Sommario3"/>
            <w:rPr>
              <w:rFonts w:asciiTheme="minorHAnsi" w:eastAsiaTheme="minorEastAsia" w:hAnsiTheme="minorHAnsi" w:cstheme="minorBidi"/>
              <w:iCs w:val="0"/>
              <w:noProof/>
              <w:sz w:val="22"/>
              <w:szCs w:val="22"/>
              <w:lang w:eastAsia="it-IT"/>
            </w:rPr>
          </w:pPr>
          <w:hyperlink w:anchor="_Toc95495880" w:history="1">
            <w:r w:rsidR="006574B4" w:rsidRPr="001535DD">
              <w:rPr>
                <w:rStyle w:val="Collegamentoipertestuale"/>
                <w:rFonts w:ascii="Titillium" w:hAnsi="Titillium"/>
                <w:noProof/>
              </w:rPr>
              <w:t>2.3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COMUNICAZIONI</w:t>
            </w:r>
            <w:r w:rsidR="006574B4">
              <w:rPr>
                <w:noProof/>
              </w:rPr>
              <w:tab/>
            </w:r>
            <w:r w:rsidR="006574B4">
              <w:rPr>
                <w:noProof/>
              </w:rPr>
              <w:fldChar w:fldCharType="begin"/>
            </w:r>
            <w:r w:rsidR="006574B4">
              <w:rPr>
                <w:noProof/>
              </w:rPr>
              <w:instrText xml:space="preserve"> PAGEREF _Toc95495880 \h </w:instrText>
            </w:r>
            <w:r w:rsidR="006574B4">
              <w:rPr>
                <w:noProof/>
              </w:rPr>
            </w:r>
            <w:r w:rsidR="006574B4">
              <w:rPr>
                <w:noProof/>
              </w:rPr>
              <w:fldChar w:fldCharType="separate"/>
            </w:r>
            <w:r w:rsidR="006F0CBC">
              <w:rPr>
                <w:noProof/>
              </w:rPr>
              <w:t>10</w:t>
            </w:r>
            <w:r w:rsidR="006574B4">
              <w:rPr>
                <w:noProof/>
              </w:rPr>
              <w:fldChar w:fldCharType="end"/>
            </w:r>
          </w:hyperlink>
        </w:p>
        <w:p w14:paraId="536FA92D" w14:textId="2B8B53E7" w:rsidR="006574B4" w:rsidRDefault="00D372C4">
          <w:pPr>
            <w:pStyle w:val="Sommario2"/>
            <w:rPr>
              <w:rFonts w:asciiTheme="minorHAnsi" w:eastAsiaTheme="minorEastAsia" w:hAnsiTheme="minorHAnsi" w:cstheme="minorBidi"/>
              <w:smallCaps w:val="0"/>
              <w:noProof/>
              <w:sz w:val="22"/>
              <w:szCs w:val="22"/>
              <w:lang w:eastAsia="it-IT"/>
            </w:rPr>
          </w:pPr>
          <w:hyperlink w:anchor="_Toc95495881" w:history="1">
            <w:r w:rsidR="006574B4" w:rsidRPr="001535DD">
              <w:rPr>
                <w:rStyle w:val="Collegamentoipertestuale"/>
                <w:rFonts w:ascii="Titillium" w:hAnsi="Titillium"/>
                <w:noProof/>
              </w:rPr>
              <w:t>3.</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OGGETTO DELL’APPALTO, IMPORTO E SUDDIVISIONE IN LOTTI</w:t>
            </w:r>
            <w:r w:rsidR="006574B4">
              <w:rPr>
                <w:noProof/>
              </w:rPr>
              <w:tab/>
            </w:r>
            <w:r w:rsidR="006574B4">
              <w:rPr>
                <w:noProof/>
              </w:rPr>
              <w:fldChar w:fldCharType="begin"/>
            </w:r>
            <w:r w:rsidR="006574B4">
              <w:rPr>
                <w:noProof/>
              </w:rPr>
              <w:instrText xml:space="preserve"> PAGEREF _Toc95495881 \h </w:instrText>
            </w:r>
            <w:r w:rsidR="006574B4">
              <w:rPr>
                <w:noProof/>
              </w:rPr>
            </w:r>
            <w:r w:rsidR="006574B4">
              <w:rPr>
                <w:noProof/>
              </w:rPr>
              <w:fldChar w:fldCharType="separate"/>
            </w:r>
            <w:r w:rsidR="006F0CBC">
              <w:rPr>
                <w:noProof/>
              </w:rPr>
              <w:t>10</w:t>
            </w:r>
            <w:r w:rsidR="006574B4">
              <w:rPr>
                <w:noProof/>
              </w:rPr>
              <w:fldChar w:fldCharType="end"/>
            </w:r>
          </w:hyperlink>
        </w:p>
        <w:p w14:paraId="7DBA0294" w14:textId="7D4AD1D9" w:rsidR="006574B4" w:rsidRDefault="00D372C4">
          <w:pPr>
            <w:pStyle w:val="Sommario3"/>
            <w:rPr>
              <w:rFonts w:asciiTheme="minorHAnsi" w:eastAsiaTheme="minorEastAsia" w:hAnsiTheme="minorHAnsi" w:cstheme="minorBidi"/>
              <w:iCs w:val="0"/>
              <w:noProof/>
              <w:sz w:val="22"/>
              <w:szCs w:val="22"/>
              <w:lang w:eastAsia="it-IT"/>
            </w:rPr>
          </w:pPr>
          <w:hyperlink w:anchor="_Toc95495882" w:history="1">
            <w:r w:rsidR="006574B4" w:rsidRPr="001535DD">
              <w:rPr>
                <w:rStyle w:val="Collegamentoipertestuale"/>
                <w:rFonts w:ascii="Titillium" w:hAnsi="Titillium"/>
                <w:noProof/>
              </w:rPr>
              <w:t>3.1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DURATA</w:t>
            </w:r>
            <w:r w:rsidR="006574B4">
              <w:rPr>
                <w:noProof/>
              </w:rPr>
              <w:tab/>
            </w:r>
            <w:r w:rsidR="006574B4">
              <w:rPr>
                <w:noProof/>
              </w:rPr>
              <w:fldChar w:fldCharType="begin"/>
            </w:r>
            <w:r w:rsidR="006574B4">
              <w:rPr>
                <w:noProof/>
              </w:rPr>
              <w:instrText xml:space="preserve"> PAGEREF _Toc95495882 \h </w:instrText>
            </w:r>
            <w:r w:rsidR="006574B4">
              <w:rPr>
                <w:noProof/>
              </w:rPr>
            </w:r>
            <w:r w:rsidR="006574B4">
              <w:rPr>
                <w:noProof/>
              </w:rPr>
              <w:fldChar w:fldCharType="separate"/>
            </w:r>
            <w:r w:rsidR="006F0CBC">
              <w:rPr>
                <w:noProof/>
              </w:rPr>
              <w:t>13</w:t>
            </w:r>
            <w:r w:rsidR="006574B4">
              <w:rPr>
                <w:noProof/>
              </w:rPr>
              <w:fldChar w:fldCharType="end"/>
            </w:r>
          </w:hyperlink>
        </w:p>
        <w:p w14:paraId="6401E2CC" w14:textId="472FB74A" w:rsidR="006574B4" w:rsidRDefault="00D372C4">
          <w:pPr>
            <w:pStyle w:val="Sommario3"/>
            <w:rPr>
              <w:rFonts w:asciiTheme="minorHAnsi" w:eastAsiaTheme="minorEastAsia" w:hAnsiTheme="minorHAnsi" w:cstheme="minorBidi"/>
              <w:iCs w:val="0"/>
              <w:noProof/>
              <w:sz w:val="22"/>
              <w:szCs w:val="22"/>
              <w:lang w:eastAsia="it-IT"/>
            </w:rPr>
          </w:pPr>
          <w:hyperlink w:anchor="_Toc95495883" w:history="1">
            <w:r w:rsidR="006574B4" w:rsidRPr="001535DD">
              <w:rPr>
                <w:rStyle w:val="Collegamentoipertestuale"/>
                <w:rFonts w:ascii="Titillium" w:hAnsi="Titillium"/>
                <w:noProof/>
              </w:rPr>
              <w:t>3.2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OPZIONI E RINNOVI</w:t>
            </w:r>
            <w:r w:rsidR="006574B4">
              <w:rPr>
                <w:noProof/>
              </w:rPr>
              <w:tab/>
            </w:r>
            <w:r w:rsidR="006574B4">
              <w:rPr>
                <w:noProof/>
              </w:rPr>
              <w:fldChar w:fldCharType="begin"/>
            </w:r>
            <w:r w:rsidR="006574B4">
              <w:rPr>
                <w:noProof/>
              </w:rPr>
              <w:instrText xml:space="preserve"> PAGEREF _Toc95495883 \h </w:instrText>
            </w:r>
            <w:r w:rsidR="006574B4">
              <w:rPr>
                <w:noProof/>
              </w:rPr>
            </w:r>
            <w:r w:rsidR="006574B4">
              <w:rPr>
                <w:noProof/>
              </w:rPr>
              <w:fldChar w:fldCharType="separate"/>
            </w:r>
            <w:r w:rsidR="006F0CBC">
              <w:rPr>
                <w:noProof/>
              </w:rPr>
              <w:t>13</w:t>
            </w:r>
            <w:r w:rsidR="006574B4">
              <w:rPr>
                <w:noProof/>
              </w:rPr>
              <w:fldChar w:fldCharType="end"/>
            </w:r>
          </w:hyperlink>
        </w:p>
        <w:p w14:paraId="37668FD7" w14:textId="2911FE1D" w:rsidR="006574B4" w:rsidRDefault="00D372C4">
          <w:pPr>
            <w:pStyle w:val="Sommario3"/>
            <w:rPr>
              <w:rFonts w:asciiTheme="minorHAnsi" w:eastAsiaTheme="minorEastAsia" w:hAnsiTheme="minorHAnsi" w:cstheme="minorBidi"/>
              <w:iCs w:val="0"/>
              <w:noProof/>
              <w:sz w:val="22"/>
              <w:szCs w:val="22"/>
              <w:lang w:eastAsia="it-IT"/>
            </w:rPr>
          </w:pPr>
          <w:hyperlink w:anchor="_Toc95495884" w:history="1">
            <w:r w:rsidR="006574B4" w:rsidRPr="001535DD">
              <w:rPr>
                <w:rStyle w:val="Collegamentoipertestuale"/>
                <w:rFonts w:ascii="Titillium" w:hAnsi="Titillium"/>
                <w:noProof/>
              </w:rPr>
              <w:t>3.3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REVISIONE DEI PREZZI</w:t>
            </w:r>
            <w:r w:rsidR="006574B4">
              <w:rPr>
                <w:noProof/>
              </w:rPr>
              <w:tab/>
            </w:r>
            <w:r w:rsidR="006574B4">
              <w:rPr>
                <w:noProof/>
              </w:rPr>
              <w:fldChar w:fldCharType="begin"/>
            </w:r>
            <w:r w:rsidR="006574B4">
              <w:rPr>
                <w:noProof/>
              </w:rPr>
              <w:instrText xml:space="preserve"> PAGEREF _Toc95495884 \h </w:instrText>
            </w:r>
            <w:r w:rsidR="006574B4">
              <w:rPr>
                <w:noProof/>
              </w:rPr>
            </w:r>
            <w:r w:rsidR="006574B4">
              <w:rPr>
                <w:noProof/>
              </w:rPr>
              <w:fldChar w:fldCharType="separate"/>
            </w:r>
            <w:r w:rsidR="006F0CBC">
              <w:rPr>
                <w:noProof/>
              </w:rPr>
              <w:t>14</w:t>
            </w:r>
            <w:r w:rsidR="006574B4">
              <w:rPr>
                <w:noProof/>
              </w:rPr>
              <w:fldChar w:fldCharType="end"/>
            </w:r>
          </w:hyperlink>
        </w:p>
        <w:p w14:paraId="74A8FBE0" w14:textId="02E660AB" w:rsidR="006574B4" w:rsidRDefault="00D372C4">
          <w:pPr>
            <w:pStyle w:val="Sommario2"/>
            <w:rPr>
              <w:rFonts w:asciiTheme="minorHAnsi" w:eastAsiaTheme="minorEastAsia" w:hAnsiTheme="minorHAnsi" w:cstheme="minorBidi"/>
              <w:smallCaps w:val="0"/>
              <w:noProof/>
              <w:sz w:val="22"/>
              <w:szCs w:val="22"/>
              <w:lang w:eastAsia="it-IT"/>
            </w:rPr>
          </w:pPr>
          <w:hyperlink w:anchor="_Toc95495885" w:history="1">
            <w:r w:rsidR="006574B4" w:rsidRPr="001535DD">
              <w:rPr>
                <w:rStyle w:val="Collegamentoipertestuale"/>
                <w:rFonts w:ascii="Titillium" w:hAnsi="Titillium"/>
                <w:noProof/>
              </w:rPr>
              <w:t>4.</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SOGGETTI AMMESSI IN FORMA SINGOLA E ASSOCIATA E CONDIZIONI DI PARTECIPAZIONE</w:t>
            </w:r>
            <w:r w:rsidR="006574B4">
              <w:rPr>
                <w:noProof/>
              </w:rPr>
              <w:tab/>
            </w:r>
            <w:r w:rsidR="006574B4">
              <w:rPr>
                <w:noProof/>
              </w:rPr>
              <w:fldChar w:fldCharType="begin"/>
            </w:r>
            <w:r w:rsidR="006574B4">
              <w:rPr>
                <w:noProof/>
              </w:rPr>
              <w:instrText xml:space="preserve"> PAGEREF _Toc95495885 \h </w:instrText>
            </w:r>
            <w:r w:rsidR="006574B4">
              <w:rPr>
                <w:noProof/>
              </w:rPr>
            </w:r>
            <w:r w:rsidR="006574B4">
              <w:rPr>
                <w:noProof/>
              </w:rPr>
              <w:fldChar w:fldCharType="separate"/>
            </w:r>
            <w:r w:rsidR="006F0CBC">
              <w:rPr>
                <w:noProof/>
              </w:rPr>
              <w:t>14</w:t>
            </w:r>
            <w:r w:rsidR="006574B4">
              <w:rPr>
                <w:noProof/>
              </w:rPr>
              <w:fldChar w:fldCharType="end"/>
            </w:r>
          </w:hyperlink>
        </w:p>
        <w:p w14:paraId="11D3B93D" w14:textId="25BE53C4" w:rsidR="006574B4" w:rsidRDefault="00D372C4">
          <w:pPr>
            <w:pStyle w:val="Sommario2"/>
            <w:rPr>
              <w:rFonts w:asciiTheme="minorHAnsi" w:eastAsiaTheme="minorEastAsia" w:hAnsiTheme="minorHAnsi" w:cstheme="minorBidi"/>
              <w:smallCaps w:val="0"/>
              <w:noProof/>
              <w:sz w:val="22"/>
              <w:szCs w:val="22"/>
              <w:lang w:eastAsia="it-IT"/>
            </w:rPr>
          </w:pPr>
          <w:hyperlink w:anchor="_Toc95495886" w:history="1">
            <w:r w:rsidR="006574B4" w:rsidRPr="001535DD">
              <w:rPr>
                <w:rStyle w:val="Collegamentoipertestuale"/>
                <w:rFonts w:ascii="Titillium" w:hAnsi="Titillium"/>
                <w:noProof/>
              </w:rPr>
              <w:t>5.</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REQUISITI GENERALI</w:t>
            </w:r>
            <w:r w:rsidR="006574B4">
              <w:rPr>
                <w:noProof/>
              </w:rPr>
              <w:tab/>
            </w:r>
            <w:r w:rsidR="006574B4">
              <w:rPr>
                <w:noProof/>
              </w:rPr>
              <w:fldChar w:fldCharType="begin"/>
            </w:r>
            <w:r w:rsidR="006574B4">
              <w:rPr>
                <w:noProof/>
              </w:rPr>
              <w:instrText xml:space="preserve"> PAGEREF _Toc95495886 \h </w:instrText>
            </w:r>
            <w:r w:rsidR="006574B4">
              <w:rPr>
                <w:noProof/>
              </w:rPr>
            </w:r>
            <w:r w:rsidR="006574B4">
              <w:rPr>
                <w:noProof/>
              </w:rPr>
              <w:fldChar w:fldCharType="separate"/>
            </w:r>
            <w:r w:rsidR="006F0CBC">
              <w:rPr>
                <w:noProof/>
              </w:rPr>
              <w:t>16</w:t>
            </w:r>
            <w:r w:rsidR="006574B4">
              <w:rPr>
                <w:noProof/>
              </w:rPr>
              <w:fldChar w:fldCharType="end"/>
            </w:r>
          </w:hyperlink>
        </w:p>
        <w:p w14:paraId="02760C31" w14:textId="4C1F0AE1" w:rsidR="006574B4" w:rsidRDefault="00D372C4">
          <w:pPr>
            <w:pStyle w:val="Sommario2"/>
            <w:rPr>
              <w:rFonts w:asciiTheme="minorHAnsi" w:eastAsiaTheme="minorEastAsia" w:hAnsiTheme="minorHAnsi" w:cstheme="minorBidi"/>
              <w:smallCaps w:val="0"/>
              <w:noProof/>
              <w:sz w:val="22"/>
              <w:szCs w:val="22"/>
              <w:lang w:eastAsia="it-IT"/>
            </w:rPr>
          </w:pPr>
          <w:hyperlink w:anchor="_Toc95495887" w:history="1">
            <w:r w:rsidR="006574B4" w:rsidRPr="001535DD">
              <w:rPr>
                <w:rStyle w:val="Collegamentoipertestuale"/>
                <w:rFonts w:ascii="Titillium" w:hAnsi="Titillium"/>
                <w:noProof/>
              </w:rPr>
              <w:t>6.</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REQUISITI SPECIALI E MEZZI DI PROVA</w:t>
            </w:r>
            <w:r w:rsidR="006574B4">
              <w:rPr>
                <w:noProof/>
              </w:rPr>
              <w:tab/>
            </w:r>
            <w:r w:rsidR="006574B4">
              <w:rPr>
                <w:noProof/>
              </w:rPr>
              <w:fldChar w:fldCharType="begin"/>
            </w:r>
            <w:r w:rsidR="006574B4">
              <w:rPr>
                <w:noProof/>
              </w:rPr>
              <w:instrText xml:space="preserve"> PAGEREF _Toc95495887 \h </w:instrText>
            </w:r>
            <w:r w:rsidR="006574B4">
              <w:rPr>
                <w:noProof/>
              </w:rPr>
            </w:r>
            <w:r w:rsidR="006574B4">
              <w:rPr>
                <w:noProof/>
              </w:rPr>
              <w:fldChar w:fldCharType="separate"/>
            </w:r>
            <w:r w:rsidR="006F0CBC">
              <w:rPr>
                <w:noProof/>
              </w:rPr>
              <w:t>17</w:t>
            </w:r>
            <w:r w:rsidR="006574B4">
              <w:rPr>
                <w:noProof/>
              </w:rPr>
              <w:fldChar w:fldCharType="end"/>
            </w:r>
          </w:hyperlink>
        </w:p>
        <w:p w14:paraId="05BE5BAB" w14:textId="0C5CA386" w:rsidR="006574B4" w:rsidRDefault="00D372C4">
          <w:pPr>
            <w:pStyle w:val="Sommario3"/>
            <w:rPr>
              <w:rFonts w:asciiTheme="minorHAnsi" w:eastAsiaTheme="minorEastAsia" w:hAnsiTheme="minorHAnsi" w:cstheme="minorBidi"/>
              <w:iCs w:val="0"/>
              <w:noProof/>
              <w:sz w:val="22"/>
              <w:szCs w:val="22"/>
              <w:lang w:eastAsia="it-IT"/>
            </w:rPr>
          </w:pPr>
          <w:hyperlink w:anchor="_Toc95495888" w:history="1">
            <w:r w:rsidR="006574B4" w:rsidRPr="001535DD">
              <w:rPr>
                <w:rStyle w:val="Collegamentoipertestuale"/>
                <w:rFonts w:ascii="Titillium" w:hAnsi="Titillium"/>
                <w:noProof/>
              </w:rPr>
              <w:t>6.1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REQUISITI DI IDONEITÀ</w:t>
            </w:r>
            <w:r w:rsidR="006574B4">
              <w:rPr>
                <w:noProof/>
              </w:rPr>
              <w:tab/>
            </w:r>
            <w:r w:rsidR="006574B4">
              <w:rPr>
                <w:noProof/>
              </w:rPr>
              <w:fldChar w:fldCharType="begin"/>
            </w:r>
            <w:r w:rsidR="006574B4">
              <w:rPr>
                <w:noProof/>
              </w:rPr>
              <w:instrText xml:space="preserve"> PAGEREF _Toc95495888 \h </w:instrText>
            </w:r>
            <w:r w:rsidR="006574B4">
              <w:rPr>
                <w:noProof/>
              </w:rPr>
            </w:r>
            <w:r w:rsidR="006574B4">
              <w:rPr>
                <w:noProof/>
              </w:rPr>
              <w:fldChar w:fldCharType="separate"/>
            </w:r>
            <w:r w:rsidR="006F0CBC">
              <w:rPr>
                <w:noProof/>
              </w:rPr>
              <w:t>18</w:t>
            </w:r>
            <w:r w:rsidR="006574B4">
              <w:rPr>
                <w:noProof/>
              </w:rPr>
              <w:fldChar w:fldCharType="end"/>
            </w:r>
          </w:hyperlink>
        </w:p>
        <w:p w14:paraId="72CF5483" w14:textId="09A7743E" w:rsidR="006574B4" w:rsidRDefault="00D372C4">
          <w:pPr>
            <w:pStyle w:val="Sommario3"/>
            <w:rPr>
              <w:rFonts w:asciiTheme="minorHAnsi" w:eastAsiaTheme="minorEastAsia" w:hAnsiTheme="minorHAnsi" w:cstheme="minorBidi"/>
              <w:iCs w:val="0"/>
              <w:noProof/>
              <w:sz w:val="22"/>
              <w:szCs w:val="22"/>
              <w:lang w:eastAsia="it-IT"/>
            </w:rPr>
          </w:pPr>
          <w:hyperlink w:anchor="_Toc95495889" w:history="1">
            <w:r w:rsidR="006574B4" w:rsidRPr="001535DD">
              <w:rPr>
                <w:rStyle w:val="Collegamentoipertestuale"/>
                <w:rFonts w:ascii="Titillium" w:hAnsi="Titillium"/>
                <w:noProof/>
              </w:rPr>
              <w:t>6.2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REQUISITI DI CAPACITÀ ECONOMICA E FINANZIARIA</w:t>
            </w:r>
            <w:r w:rsidR="006574B4">
              <w:rPr>
                <w:noProof/>
              </w:rPr>
              <w:tab/>
            </w:r>
            <w:r w:rsidR="006574B4">
              <w:rPr>
                <w:noProof/>
              </w:rPr>
              <w:fldChar w:fldCharType="begin"/>
            </w:r>
            <w:r w:rsidR="006574B4">
              <w:rPr>
                <w:noProof/>
              </w:rPr>
              <w:instrText xml:space="preserve"> PAGEREF _Toc95495889 \h </w:instrText>
            </w:r>
            <w:r w:rsidR="006574B4">
              <w:rPr>
                <w:noProof/>
              </w:rPr>
            </w:r>
            <w:r w:rsidR="006574B4">
              <w:rPr>
                <w:noProof/>
              </w:rPr>
              <w:fldChar w:fldCharType="separate"/>
            </w:r>
            <w:r w:rsidR="006F0CBC">
              <w:rPr>
                <w:noProof/>
              </w:rPr>
              <w:t>18</w:t>
            </w:r>
            <w:r w:rsidR="006574B4">
              <w:rPr>
                <w:noProof/>
              </w:rPr>
              <w:fldChar w:fldCharType="end"/>
            </w:r>
          </w:hyperlink>
        </w:p>
        <w:p w14:paraId="16EA0890" w14:textId="75FBF5C2" w:rsidR="006574B4" w:rsidRDefault="00D372C4">
          <w:pPr>
            <w:pStyle w:val="Sommario3"/>
            <w:rPr>
              <w:rFonts w:asciiTheme="minorHAnsi" w:eastAsiaTheme="minorEastAsia" w:hAnsiTheme="minorHAnsi" w:cstheme="minorBidi"/>
              <w:iCs w:val="0"/>
              <w:noProof/>
              <w:sz w:val="22"/>
              <w:szCs w:val="22"/>
              <w:lang w:eastAsia="it-IT"/>
            </w:rPr>
          </w:pPr>
          <w:hyperlink w:anchor="_Toc95495890" w:history="1">
            <w:r w:rsidR="006574B4" w:rsidRPr="001535DD">
              <w:rPr>
                <w:rStyle w:val="Collegamentoipertestuale"/>
                <w:rFonts w:ascii="Titillium" w:hAnsi="Titillium"/>
                <w:noProof/>
              </w:rPr>
              <w:t>6.3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REQUISITI DI CAPACITÀ TECNICA E PROFESSIONALE</w:t>
            </w:r>
            <w:r w:rsidR="006574B4">
              <w:rPr>
                <w:noProof/>
              </w:rPr>
              <w:tab/>
            </w:r>
            <w:r w:rsidR="006574B4">
              <w:rPr>
                <w:noProof/>
              </w:rPr>
              <w:fldChar w:fldCharType="begin"/>
            </w:r>
            <w:r w:rsidR="006574B4">
              <w:rPr>
                <w:noProof/>
              </w:rPr>
              <w:instrText xml:space="preserve"> PAGEREF _Toc95495890 \h </w:instrText>
            </w:r>
            <w:r w:rsidR="006574B4">
              <w:rPr>
                <w:noProof/>
              </w:rPr>
            </w:r>
            <w:r w:rsidR="006574B4">
              <w:rPr>
                <w:noProof/>
              </w:rPr>
              <w:fldChar w:fldCharType="separate"/>
            </w:r>
            <w:r w:rsidR="006F0CBC">
              <w:rPr>
                <w:noProof/>
              </w:rPr>
              <w:t>20</w:t>
            </w:r>
            <w:r w:rsidR="006574B4">
              <w:rPr>
                <w:noProof/>
              </w:rPr>
              <w:fldChar w:fldCharType="end"/>
            </w:r>
          </w:hyperlink>
        </w:p>
        <w:p w14:paraId="2B5744EB" w14:textId="262C75DC" w:rsidR="006574B4" w:rsidRDefault="00D372C4">
          <w:pPr>
            <w:pStyle w:val="Sommario3"/>
            <w:rPr>
              <w:rFonts w:asciiTheme="minorHAnsi" w:eastAsiaTheme="minorEastAsia" w:hAnsiTheme="minorHAnsi" w:cstheme="minorBidi"/>
              <w:iCs w:val="0"/>
              <w:noProof/>
              <w:sz w:val="22"/>
              <w:szCs w:val="22"/>
              <w:lang w:eastAsia="it-IT"/>
            </w:rPr>
          </w:pPr>
          <w:hyperlink w:anchor="_Toc95495891" w:history="1">
            <w:r w:rsidR="006574B4" w:rsidRPr="001535DD">
              <w:rPr>
                <w:rStyle w:val="Collegamentoipertestuale"/>
                <w:rFonts w:ascii="Titillium" w:hAnsi="Titillium"/>
                <w:noProof/>
              </w:rPr>
              <w:t>6.4</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INDICAZIONI PER I RAGGRUPPAMENTI TEMPORANEI, CONSORZI ORDINARI, AGGREGAZIONI DI IMPRESE DI RETE, GEIE</w:t>
            </w:r>
            <w:r w:rsidR="006574B4">
              <w:rPr>
                <w:noProof/>
              </w:rPr>
              <w:tab/>
            </w:r>
            <w:r w:rsidR="006574B4">
              <w:rPr>
                <w:noProof/>
              </w:rPr>
              <w:fldChar w:fldCharType="begin"/>
            </w:r>
            <w:r w:rsidR="006574B4">
              <w:rPr>
                <w:noProof/>
              </w:rPr>
              <w:instrText xml:space="preserve"> PAGEREF _Toc95495891 \h </w:instrText>
            </w:r>
            <w:r w:rsidR="006574B4">
              <w:rPr>
                <w:noProof/>
              </w:rPr>
            </w:r>
            <w:r w:rsidR="006574B4">
              <w:rPr>
                <w:noProof/>
              </w:rPr>
              <w:fldChar w:fldCharType="separate"/>
            </w:r>
            <w:r w:rsidR="006F0CBC">
              <w:rPr>
                <w:noProof/>
              </w:rPr>
              <w:t>23</w:t>
            </w:r>
            <w:r w:rsidR="006574B4">
              <w:rPr>
                <w:noProof/>
              </w:rPr>
              <w:fldChar w:fldCharType="end"/>
            </w:r>
          </w:hyperlink>
        </w:p>
        <w:p w14:paraId="4DFBC596" w14:textId="5DF87631" w:rsidR="006574B4" w:rsidRDefault="00D372C4">
          <w:pPr>
            <w:pStyle w:val="Sommario3"/>
            <w:rPr>
              <w:rFonts w:asciiTheme="minorHAnsi" w:eastAsiaTheme="minorEastAsia" w:hAnsiTheme="minorHAnsi" w:cstheme="minorBidi"/>
              <w:iCs w:val="0"/>
              <w:noProof/>
              <w:sz w:val="22"/>
              <w:szCs w:val="22"/>
              <w:lang w:eastAsia="it-IT"/>
            </w:rPr>
          </w:pPr>
          <w:hyperlink w:anchor="_Toc95495892" w:history="1">
            <w:r w:rsidR="006574B4" w:rsidRPr="001535DD">
              <w:rPr>
                <w:rStyle w:val="Collegamentoipertestuale"/>
                <w:rFonts w:ascii="Titillium" w:hAnsi="Titillium"/>
                <w:noProof/>
              </w:rPr>
              <w:t>6.5</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INDICAZIONI PER I CONSORZI DI COOPERATIVE E DI IMPRESE ARTIGIANE E I CONSORZI STABILI</w:t>
            </w:r>
            <w:r w:rsidR="006574B4">
              <w:rPr>
                <w:noProof/>
              </w:rPr>
              <w:tab/>
            </w:r>
            <w:r w:rsidR="006574B4">
              <w:rPr>
                <w:noProof/>
              </w:rPr>
              <w:fldChar w:fldCharType="begin"/>
            </w:r>
            <w:r w:rsidR="006574B4">
              <w:rPr>
                <w:noProof/>
              </w:rPr>
              <w:instrText xml:space="preserve"> PAGEREF _Toc95495892 \h </w:instrText>
            </w:r>
            <w:r w:rsidR="006574B4">
              <w:rPr>
                <w:noProof/>
              </w:rPr>
            </w:r>
            <w:r w:rsidR="006574B4">
              <w:rPr>
                <w:noProof/>
              </w:rPr>
              <w:fldChar w:fldCharType="separate"/>
            </w:r>
            <w:r w:rsidR="006F0CBC">
              <w:rPr>
                <w:noProof/>
              </w:rPr>
              <w:t>24</w:t>
            </w:r>
            <w:r w:rsidR="006574B4">
              <w:rPr>
                <w:noProof/>
              </w:rPr>
              <w:fldChar w:fldCharType="end"/>
            </w:r>
          </w:hyperlink>
        </w:p>
        <w:p w14:paraId="4ED7D9A4" w14:textId="342A1EC6" w:rsidR="006574B4" w:rsidRDefault="00D372C4">
          <w:pPr>
            <w:pStyle w:val="Sommario2"/>
            <w:rPr>
              <w:rFonts w:asciiTheme="minorHAnsi" w:eastAsiaTheme="minorEastAsia" w:hAnsiTheme="minorHAnsi" w:cstheme="minorBidi"/>
              <w:smallCaps w:val="0"/>
              <w:noProof/>
              <w:sz w:val="22"/>
              <w:szCs w:val="22"/>
              <w:lang w:eastAsia="it-IT"/>
            </w:rPr>
          </w:pPr>
          <w:hyperlink w:anchor="_Toc95495893" w:history="1">
            <w:r w:rsidR="006574B4" w:rsidRPr="001535DD">
              <w:rPr>
                <w:rStyle w:val="Collegamentoipertestuale"/>
                <w:rFonts w:ascii="Titillium" w:hAnsi="Titillium"/>
                <w:noProof/>
              </w:rPr>
              <w:t>7.</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AVVALIMENTO</w:t>
            </w:r>
            <w:r w:rsidR="006574B4">
              <w:rPr>
                <w:noProof/>
              </w:rPr>
              <w:tab/>
            </w:r>
            <w:r w:rsidR="006574B4">
              <w:rPr>
                <w:noProof/>
              </w:rPr>
              <w:fldChar w:fldCharType="begin"/>
            </w:r>
            <w:r w:rsidR="006574B4">
              <w:rPr>
                <w:noProof/>
              </w:rPr>
              <w:instrText xml:space="preserve"> PAGEREF _Toc95495893 \h </w:instrText>
            </w:r>
            <w:r w:rsidR="006574B4">
              <w:rPr>
                <w:noProof/>
              </w:rPr>
            </w:r>
            <w:r w:rsidR="006574B4">
              <w:rPr>
                <w:noProof/>
              </w:rPr>
              <w:fldChar w:fldCharType="separate"/>
            </w:r>
            <w:r w:rsidR="006F0CBC">
              <w:rPr>
                <w:noProof/>
              </w:rPr>
              <w:t>25</w:t>
            </w:r>
            <w:r w:rsidR="006574B4">
              <w:rPr>
                <w:noProof/>
              </w:rPr>
              <w:fldChar w:fldCharType="end"/>
            </w:r>
          </w:hyperlink>
        </w:p>
        <w:p w14:paraId="49C553BA" w14:textId="379261C0" w:rsidR="006574B4" w:rsidRDefault="00D372C4">
          <w:pPr>
            <w:pStyle w:val="Sommario2"/>
            <w:rPr>
              <w:rFonts w:asciiTheme="minorHAnsi" w:eastAsiaTheme="minorEastAsia" w:hAnsiTheme="minorHAnsi" w:cstheme="minorBidi"/>
              <w:smallCaps w:val="0"/>
              <w:noProof/>
              <w:sz w:val="22"/>
              <w:szCs w:val="22"/>
              <w:lang w:eastAsia="it-IT"/>
            </w:rPr>
          </w:pPr>
          <w:hyperlink w:anchor="_Toc95495894" w:history="1">
            <w:r w:rsidR="006574B4" w:rsidRPr="001535DD">
              <w:rPr>
                <w:rStyle w:val="Collegamentoipertestuale"/>
                <w:rFonts w:ascii="Titillium" w:hAnsi="Titillium"/>
                <w:noProof/>
              </w:rPr>
              <w:t>8.</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SUBAPPALTO</w:t>
            </w:r>
            <w:r w:rsidR="006574B4">
              <w:rPr>
                <w:noProof/>
              </w:rPr>
              <w:tab/>
            </w:r>
            <w:r w:rsidR="006574B4">
              <w:rPr>
                <w:noProof/>
              </w:rPr>
              <w:fldChar w:fldCharType="begin"/>
            </w:r>
            <w:r w:rsidR="006574B4">
              <w:rPr>
                <w:noProof/>
              </w:rPr>
              <w:instrText xml:space="preserve"> PAGEREF _Toc95495894 \h </w:instrText>
            </w:r>
            <w:r w:rsidR="006574B4">
              <w:rPr>
                <w:noProof/>
              </w:rPr>
            </w:r>
            <w:r w:rsidR="006574B4">
              <w:rPr>
                <w:noProof/>
              </w:rPr>
              <w:fldChar w:fldCharType="separate"/>
            </w:r>
            <w:r w:rsidR="006F0CBC">
              <w:rPr>
                <w:noProof/>
              </w:rPr>
              <w:t>26</w:t>
            </w:r>
            <w:r w:rsidR="006574B4">
              <w:rPr>
                <w:noProof/>
              </w:rPr>
              <w:fldChar w:fldCharType="end"/>
            </w:r>
          </w:hyperlink>
        </w:p>
        <w:p w14:paraId="3229D6AB" w14:textId="36CF5C67" w:rsidR="006574B4" w:rsidRDefault="00D372C4">
          <w:pPr>
            <w:pStyle w:val="Sommario2"/>
            <w:rPr>
              <w:rFonts w:asciiTheme="minorHAnsi" w:eastAsiaTheme="minorEastAsia" w:hAnsiTheme="minorHAnsi" w:cstheme="minorBidi"/>
              <w:smallCaps w:val="0"/>
              <w:noProof/>
              <w:sz w:val="22"/>
              <w:szCs w:val="22"/>
              <w:lang w:eastAsia="it-IT"/>
            </w:rPr>
          </w:pPr>
          <w:hyperlink w:anchor="_Toc95495895" w:history="1">
            <w:r w:rsidR="006574B4" w:rsidRPr="001535DD">
              <w:rPr>
                <w:rStyle w:val="Collegamentoipertestuale"/>
                <w:rFonts w:ascii="Titillium" w:hAnsi="Titillium"/>
                <w:noProof/>
              </w:rPr>
              <w:t>9.</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cs="Calibri"/>
                <w:noProof/>
              </w:rPr>
              <w:t>GARANZIA PROVVISOR</w:t>
            </w:r>
            <w:r w:rsidR="006574B4" w:rsidRPr="001535DD">
              <w:rPr>
                <w:rStyle w:val="Collegamentoipertestuale"/>
                <w:rFonts w:ascii="Titillium" w:hAnsi="Titillium"/>
                <w:noProof/>
              </w:rPr>
              <w:t>IA</w:t>
            </w:r>
            <w:r w:rsidR="006574B4">
              <w:rPr>
                <w:noProof/>
              </w:rPr>
              <w:tab/>
            </w:r>
            <w:r w:rsidR="006574B4">
              <w:rPr>
                <w:noProof/>
              </w:rPr>
              <w:fldChar w:fldCharType="begin"/>
            </w:r>
            <w:r w:rsidR="006574B4">
              <w:rPr>
                <w:noProof/>
              </w:rPr>
              <w:instrText xml:space="preserve"> PAGEREF _Toc95495895 \h </w:instrText>
            </w:r>
            <w:r w:rsidR="006574B4">
              <w:rPr>
                <w:noProof/>
              </w:rPr>
            </w:r>
            <w:r w:rsidR="006574B4">
              <w:rPr>
                <w:noProof/>
              </w:rPr>
              <w:fldChar w:fldCharType="separate"/>
            </w:r>
            <w:r w:rsidR="006F0CBC">
              <w:rPr>
                <w:noProof/>
              </w:rPr>
              <w:t>26</w:t>
            </w:r>
            <w:r w:rsidR="006574B4">
              <w:rPr>
                <w:noProof/>
              </w:rPr>
              <w:fldChar w:fldCharType="end"/>
            </w:r>
          </w:hyperlink>
        </w:p>
        <w:p w14:paraId="0A1D3EA2" w14:textId="69CC23B5" w:rsidR="006574B4" w:rsidRDefault="00D372C4">
          <w:pPr>
            <w:pStyle w:val="Sommario2"/>
            <w:rPr>
              <w:rFonts w:asciiTheme="minorHAnsi" w:eastAsiaTheme="minorEastAsia" w:hAnsiTheme="minorHAnsi" w:cstheme="minorBidi"/>
              <w:smallCaps w:val="0"/>
              <w:noProof/>
              <w:sz w:val="22"/>
              <w:szCs w:val="22"/>
              <w:lang w:eastAsia="it-IT"/>
            </w:rPr>
          </w:pPr>
          <w:hyperlink w:anchor="_Toc95495896" w:history="1">
            <w:r w:rsidR="006574B4" w:rsidRPr="001535DD">
              <w:rPr>
                <w:rStyle w:val="Collegamentoipertestuale"/>
                <w:rFonts w:ascii="Titillium" w:hAnsi="Titillium"/>
                <w:noProof/>
              </w:rPr>
              <w:t>10.</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i/>
                <w:noProof/>
              </w:rPr>
              <w:t>[FACOLTATIVO]</w:t>
            </w:r>
            <w:r w:rsidR="006574B4" w:rsidRPr="001535DD">
              <w:rPr>
                <w:rStyle w:val="Collegamentoipertestuale"/>
                <w:rFonts w:ascii="Titillium" w:hAnsi="Titillium"/>
                <w:noProof/>
              </w:rPr>
              <w:t xml:space="preserve">  SOPRALLUOGO</w:t>
            </w:r>
            <w:r w:rsidR="006574B4">
              <w:rPr>
                <w:noProof/>
              </w:rPr>
              <w:tab/>
            </w:r>
            <w:r w:rsidR="006574B4">
              <w:rPr>
                <w:noProof/>
              </w:rPr>
              <w:fldChar w:fldCharType="begin"/>
            </w:r>
            <w:r w:rsidR="006574B4">
              <w:rPr>
                <w:noProof/>
              </w:rPr>
              <w:instrText xml:space="preserve"> PAGEREF _Toc95495896 \h </w:instrText>
            </w:r>
            <w:r w:rsidR="006574B4">
              <w:rPr>
                <w:noProof/>
              </w:rPr>
            </w:r>
            <w:r w:rsidR="006574B4">
              <w:rPr>
                <w:noProof/>
              </w:rPr>
              <w:fldChar w:fldCharType="separate"/>
            </w:r>
            <w:r w:rsidR="006F0CBC">
              <w:rPr>
                <w:noProof/>
              </w:rPr>
              <w:t>28</w:t>
            </w:r>
            <w:r w:rsidR="006574B4">
              <w:rPr>
                <w:noProof/>
              </w:rPr>
              <w:fldChar w:fldCharType="end"/>
            </w:r>
          </w:hyperlink>
        </w:p>
        <w:p w14:paraId="1EF87E88" w14:textId="508EB169" w:rsidR="006574B4" w:rsidRDefault="00D372C4">
          <w:pPr>
            <w:pStyle w:val="Sommario2"/>
            <w:rPr>
              <w:rFonts w:asciiTheme="minorHAnsi" w:eastAsiaTheme="minorEastAsia" w:hAnsiTheme="minorHAnsi" w:cstheme="minorBidi"/>
              <w:smallCaps w:val="0"/>
              <w:noProof/>
              <w:sz w:val="22"/>
              <w:szCs w:val="22"/>
              <w:lang w:eastAsia="it-IT"/>
            </w:rPr>
          </w:pPr>
          <w:hyperlink w:anchor="_Toc95495897" w:history="1">
            <w:r w:rsidR="006574B4" w:rsidRPr="001535DD">
              <w:rPr>
                <w:rStyle w:val="Collegamentoipertestuale"/>
                <w:rFonts w:ascii="Titillium" w:hAnsi="Titillium"/>
                <w:noProof/>
              </w:rPr>
              <w:t>11.</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PAGAMENTO DEL CONTRIBUTO A FAVORE DELL’</w:t>
            </w:r>
            <w:r w:rsidR="006574B4" w:rsidRPr="001535DD">
              <w:rPr>
                <w:rStyle w:val="Collegamentoipertestuale"/>
                <w:rFonts w:ascii="Titillium" w:hAnsi="Titillium" w:cs="Calibri"/>
                <w:noProof/>
              </w:rPr>
              <w:t>ANAC</w:t>
            </w:r>
            <w:r w:rsidR="006574B4">
              <w:rPr>
                <w:noProof/>
              </w:rPr>
              <w:tab/>
            </w:r>
            <w:r w:rsidR="006574B4">
              <w:rPr>
                <w:noProof/>
              </w:rPr>
              <w:fldChar w:fldCharType="begin"/>
            </w:r>
            <w:r w:rsidR="006574B4">
              <w:rPr>
                <w:noProof/>
              </w:rPr>
              <w:instrText xml:space="preserve"> PAGEREF _Toc95495897 \h </w:instrText>
            </w:r>
            <w:r w:rsidR="006574B4">
              <w:rPr>
                <w:noProof/>
              </w:rPr>
            </w:r>
            <w:r w:rsidR="006574B4">
              <w:rPr>
                <w:noProof/>
              </w:rPr>
              <w:fldChar w:fldCharType="separate"/>
            </w:r>
            <w:r w:rsidR="006F0CBC">
              <w:rPr>
                <w:noProof/>
              </w:rPr>
              <w:t>29</w:t>
            </w:r>
            <w:r w:rsidR="006574B4">
              <w:rPr>
                <w:noProof/>
              </w:rPr>
              <w:fldChar w:fldCharType="end"/>
            </w:r>
          </w:hyperlink>
        </w:p>
        <w:p w14:paraId="3E1AEB4B" w14:textId="59DBD58E" w:rsidR="006574B4" w:rsidRDefault="00D372C4">
          <w:pPr>
            <w:pStyle w:val="Sommario2"/>
            <w:rPr>
              <w:rFonts w:asciiTheme="minorHAnsi" w:eastAsiaTheme="minorEastAsia" w:hAnsiTheme="minorHAnsi" w:cstheme="minorBidi"/>
              <w:smallCaps w:val="0"/>
              <w:noProof/>
              <w:sz w:val="22"/>
              <w:szCs w:val="22"/>
              <w:lang w:eastAsia="it-IT"/>
            </w:rPr>
          </w:pPr>
          <w:hyperlink w:anchor="_Toc95495898" w:history="1">
            <w:r w:rsidR="006574B4" w:rsidRPr="001535DD">
              <w:rPr>
                <w:rStyle w:val="Collegamentoipertestuale"/>
                <w:rFonts w:ascii="Titillium" w:hAnsi="Titillium"/>
                <w:noProof/>
              </w:rPr>
              <w:t>12.</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MODALITÀ DI PRESENTAZIONE DELL’OFFERTA E SOTTOSCRIZIONE DEI DOCUMENTI DI GARA</w:t>
            </w:r>
            <w:r w:rsidR="006574B4">
              <w:rPr>
                <w:noProof/>
              </w:rPr>
              <w:tab/>
            </w:r>
            <w:r w:rsidR="006574B4">
              <w:rPr>
                <w:noProof/>
              </w:rPr>
              <w:fldChar w:fldCharType="begin"/>
            </w:r>
            <w:r w:rsidR="006574B4">
              <w:rPr>
                <w:noProof/>
              </w:rPr>
              <w:instrText xml:space="preserve"> PAGEREF _Toc95495898 \h </w:instrText>
            </w:r>
            <w:r w:rsidR="006574B4">
              <w:rPr>
                <w:noProof/>
              </w:rPr>
            </w:r>
            <w:r w:rsidR="006574B4">
              <w:rPr>
                <w:noProof/>
              </w:rPr>
              <w:fldChar w:fldCharType="separate"/>
            </w:r>
            <w:r w:rsidR="006F0CBC">
              <w:rPr>
                <w:noProof/>
              </w:rPr>
              <w:t>30</w:t>
            </w:r>
            <w:r w:rsidR="006574B4">
              <w:rPr>
                <w:noProof/>
              </w:rPr>
              <w:fldChar w:fldCharType="end"/>
            </w:r>
          </w:hyperlink>
        </w:p>
        <w:p w14:paraId="29C16574" w14:textId="4DB73096" w:rsidR="006574B4" w:rsidRDefault="00D372C4">
          <w:pPr>
            <w:pStyle w:val="Sommario2"/>
            <w:rPr>
              <w:rFonts w:asciiTheme="minorHAnsi" w:eastAsiaTheme="minorEastAsia" w:hAnsiTheme="minorHAnsi" w:cstheme="minorBidi"/>
              <w:smallCaps w:val="0"/>
              <w:noProof/>
              <w:sz w:val="22"/>
              <w:szCs w:val="22"/>
              <w:lang w:eastAsia="it-IT"/>
            </w:rPr>
          </w:pPr>
          <w:hyperlink w:anchor="_Toc95495899" w:history="1">
            <w:r w:rsidR="006574B4" w:rsidRPr="001535DD">
              <w:rPr>
                <w:rStyle w:val="Collegamentoipertestuale"/>
                <w:rFonts w:ascii="Titillium" w:hAnsi="Titillium"/>
                <w:noProof/>
              </w:rPr>
              <w:t>13.</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SOCCORSO ISTRUTTORIO</w:t>
            </w:r>
            <w:r w:rsidR="006574B4">
              <w:rPr>
                <w:noProof/>
              </w:rPr>
              <w:tab/>
            </w:r>
            <w:r w:rsidR="006574B4">
              <w:rPr>
                <w:noProof/>
              </w:rPr>
              <w:fldChar w:fldCharType="begin"/>
            </w:r>
            <w:r w:rsidR="006574B4">
              <w:rPr>
                <w:noProof/>
              </w:rPr>
              <w:instrText xml:space="preserve"> PAGEREF _Toc95495899 \h </w:instrText>
            </w:r>
            <w:r w:rsidR="006574B4">
              <w:rPr>
                <w:noProof/>
              </w:rPr>
            </w:r>
            <w:r w:rsidR="006574B4">
              <w:rPr>
                <w:noProof/>
              </w:rPr>
              <w:fldChar w:fldCharType="separate"/>
            </w:r>
            <w:r w:rsidR="006F0CBC">
              <w:rPr>
                <w:noProof/>
              </w:rPr>
              <w:t>31</w:t>
            </w:r>
            <w:r w:rsidR="006574B4">
              <w:rPr>
                <w:noProof/>
              </w:rPr>
              <w:fldChar w:fldCharType="end"/>
            </w:r>
          </w:hyperlink>
        </w:p>
        <w:p w14:paraId="7B5DD85F" w14:textId="496C59E3" w:rsidR="006574B4" w:rsidRDefault="00D372C4">
          <w:pPr>
            <w:pStyle w:val="Sommario2"/>
            <w:rPr>
              <w:rFonts w:asciiTheme="minorHAnsi" w:eastAsiaTheme="minorEastAsia" w:hAnsiTheme="minorHAnsi" w:cstheme="minorBidi"/>
              <w:smallCaps w:val="0"/>
              <w:noProof/>
              <w:sz w:val="22"/>
              <w:szCs w:val="22"/>
              <w:lang w:eastAsia="it-IT"/>
            </w:rPr>
          </w:pPr>
          <w:hyperlink w:anchor="_Toc95495900" w:history="1">
            <w:r w:rsidR="006574B4" w:rsidRPr="001535DD">
              <w:rPr>
                <w:rStyle w:val="Collegamentoipertestuale"/>
                <w:rFonts w:ascii="Titillium" w:hAnsi="Titillium"/>
                <w:noProof/>
              </w:rPr>
              <w:t>14.</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DOMANDA DI PARTECIPAZIONe E DOCUMENTAZIONE AMMINISTRATIVA</w:t>
            </w:r>
            <w:r w:rsidR="006574B4">
              <w:rPr>
                <w:noProof/>
              </w:rPr>
              <w:tab/>
            </w:r>
            <w:r w:rsidR="006574B4">
              <w:rPr>
                <w:noProof/>
              </w:rPr>
              <w:fldChar w:fldCharType="begin"/>
            </w:r>
            <w:r w:rsidR="006574B4">
              <w:rPr>
                <w:noProof/>
              </w:rPr>
              <w:instrText xml:space="preserve"> PAGEREF _Toc95495900 \h </w:instrText>
            </w:r>
            <w:r w:rsidR="006574B4">
              <w:rPr>
                <w:noProof/>
              </w:rPr>
            </w:r>
            <w:r w:rsidR="006574B4">
              <w:rPr>
                <w:noProof/>
              </w:rPr>
              <w:fldChar w:fldCharType="separate"/>
            </w:r>
            <w:r w:rsidR="006F0CBC">
              <w:rPr>
                <w:noProof/>
              </w:rPr>
              <w:t>32</w:t>
            </w:r>
            <w:r w:rsidR="006574B4">
              <w:rPr>
                <w:noProof/>
              </w:rPr>
              <w:fldChar w:fldCharType="end"/>
            </w:r>
          </w:hyperlink>
        </w:p>
        <w:p w14:paraId="5A42AE6B" w14:textId="79A676D8" w:rsidR="006574B4" w:rsidRDefault="00D372C4">
          <w:pPr>
            <w:pStyle w:val="Sommario3"/>
            <w:rPr>
              <w:rFonts w:asciiTheme="minorHAnsi" w:eastAsiaTheme="minorEastAsia" w:hAnsiTheme="minorHAnsi" w:cstheme="minorBidi"/>
              <w:iCs w:val="0"/>
              <w:noProof/>
              <w:sz w:val="22"/>
              <w:szCs w:val="22"/>
              <w:lang w:eastAsia="it-IT"/>
            </w:rPr>
          </w:pPr>
          <w:hyperlink w:anchor="_Toc95495901" w:history="1">
            <w:r w:rsidR="006574B4" w:rsidRPr="001535DD">
              <w:rPr>
                <w:rStyle w:val="Collegamentoipertestuale"/>
                <w:rFonts w:ascii="Titillium" w:hAnsi="Titillium"/>
                <w:noProof/>
              </w:rPr>
              <w:t>14.1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DOMANDA DI PARTECIPAZIONE ED EVENTUALE PROCURA</w:t>
            </w:r>
            <w:r w:rsidR="006574B4">
              <w:rPr>
                <w:noProof/>
              </w:rPr>
              <w:tab/>
            </w:r>
            <w:r w:rsidR="006574B4">
              <w:rPr>
                <w:noProof/>
              </w:rPr>
              <w:fldChar w:fldCharType="begin"/>
            </w:r>
            <w:r w:rsidR="006574B4">
              <w:rPr>
                <w:noProof/>
              </w:rPr>
              <w:instrText xml:space="preserve"> PAGEREF _Toc95495901 \h </w:instrText>
            </w:r>
            <w:r w:rsidR="006574B4">
              <w:rPr>
                <w:noProof/>
              </w:rPr>
            </w:r>
            <w:r w:rsidR="006574B4">
              <w:rPr>
                <w:noProof/>
              </w:rPr>
              <w:fldChar w:fldCharType="separate"/>
            </w:r>
            <w:r w:rsidR="006F0CBC">
              <w:rPr>
                <w:noProof/>
              </w:rPr>
              <w:t>33</w:t>
            </w:r>
            <w:r w:rsidR="006574B4">
              <w:rPr>
                <w:noProof/>
              </w:rPr>
              <w:fldChar w:fldCharType="end"/>
            </w:r>
          </w:hyperlink>
        </w:p>
        <w:p w14:paraId="4B2A2D17" w14:textId="266CA694" w:rsidR="006574B4" w:rsidRDefault="00D372C4">
          <w:pPr>
            <w:pStyle w:val="Sommario3"/>
            <w:rPr>
              <w:rFonts w:asciiTheme="minorHAnsi" w:eastAsiaTheme="minorEastAsia" w:hAnsiTheme="minorHAnsi" w:cstheme="minorBidi"/>
              <w:iCs w:val="0"/>
              <w:noProof/>
              <w:sz w:val="22"/>
              <w:szCs w:val="22"/>
              <w:lang w:eastAsia="it-IT"/>
            </w:rPr>
          </w:pPr>
          <w:hyperlink w:anchor="_Toc95495902" w:history="1">
            <w:r w:rsidR="006574B4" w:rsidRPr="001535DD">
              <w:rPr>
                <w:rStyle w:val="Collegamentoipertestuale"/>
                <w:rFonts w:ascii="Titillium" w:hAnsi="Titillium"/>
                <w:noProof/>
              </w:rPr>
              <w:t>14.2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DOCUMENTO DI GARA UNICO EUROPEO</w:t>
            </w:r>
            <w:r w:rsidR="006574B4">
              <w:rPr>
                <w:noProof/>
              </w:rPr>
              <w:tab/>
            </w:r>
            <w:r w:rsidR="006574B4">
              <w:rPr>
                <w:noProof/>
              </w:rPr>
              <w:fldChar w:fldCharType="begin"/>
            </w:r>
            <w:r w:rsidR="006574B4">
              <w:rPr>
                <w:noProof/>
              </w:rPr>
              <w:instrText xml:space="preserve"> PAGEREF _Toc95495902 \h </w:instrText>
            </w:r>
            <w:r w:rsidR="006574B4">
              <w:rPr>
                <w:noProof/>
              </w:rPr>
            </w:r>
            <w:r w:rsidR="006574B4">
              <w:rPr>
                <w:noProof/>
              </w:rPr>
              <w:fldChar w:fldCharType="separate"/>
            </w:r>
            <w:r w:rsidR="006F0CBC">
              <w:rPr>
                <w:noProof/>
              </w:rPr>
              <w:t>36</w:t>
            </w:r>
            <w:r w:rsidR="006574B4">
              <w:rPr>
                <w:noProof/>
              </w:rPr>
              <w:fldChar w:fldCharType="end"/>
            </w:r>
          </w:hyperlink>
        </w:p>
        <w:p w14:paraId="2C10AC9D" w14:textId="64B8B002" w:rsidR="006574B4" w:rsidRDefault="00D372C4">
          <w:pPr>
            <w:pStyle w:val="Sommario3"/>
            <w:rPr>
              <w:rFonts w:asciiTheme="minorHAnsi" w:eastAsiaTheme="minorEastAsia" w:hAnsiTheme="minorHAnsi" w:cstheme="minorBidi"/>
              <w:iCs w:val="0"/>
              <w:noProof/>
              <w:sz w:val="22"/>
              <w:szCs w:val="22"/>
              <w:lang w:eastAsia="it-IT"/>
            </w:rPr>
          </w:pPr>
          <w:hyperlink w:anchor="_Toc95495903" w:history="1">
            <w:r w:rsidR="006574B4" w:rsidRPr="001535DD">
              <w:rPr>
                <w:rStyle w:val="Collegamentoipertestuale"/>
                <w:rFonts w:ascii="Titillium" w:hAnsi="Titillium"/>
                <w:noProof/>
              </w:rPr>
              <w:t>14.3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DICHIARAZIONE INTEGRATIVA PER GLI OPERATORI ECONOMICI AMMESSI AL CONCORDATO PREVENTIVO CON CONTINUITÀ AZIENDALE DI CUI ALL’ARTICOLO 186 BIS DEL R.D. 16 MARZO 1942, N. 267</w:t>
            </w:r>
            <w:r w:rsidR="006574B4">
              <w:rPr>
                <w:noProof/>
              </w:rPr>
              <w:tab/>
            </w:r>
            <w:r w:rsidR="006574B4">
              <w:rPr>
                <w:noProof/>
              </w:rPr>
              <w:fldChar w:fldCharType="begin"/>
            </w:r>
            <w:r w:rsidR="006574B4">
              <w:rPr>
                <w:noProof/>
              </w:rPr>
              <w:instrText xml:space="preserve"> PAGEREF _Toc95495903 \h </w:instrText>
            </w:r>
            <w:r w:rsidR="006574B4">
              <w:rPr>
                <w:noProof/>
              </w:rPr>
            </w:r>
            <w:r w:rsidR="006574B4">
              <w:rPr>
                <w:noProof/>
              </w:rPr>
              <w:fldChar w:fldCharType="separate"/>
            </w:r>
            <w:r w:rsidR="006F0CBC">
              <w:rPr>
                <w:noProof/>
              </w:rPr>
              <w:t>36</w:t>
            </w:r>
            <w:r w:rsidR="006574B4">
              <w:rPr>
                <w:noProof/>
              </w:rPr>
              <w:fldChar w:fldCharType="end"/>
            </w:r>
          </w:hyperlink>
        </w:p>
        <w:p w14:paraId="16BAD409" w14:textId="25C3D935" w:rsidR="006574B4" w:rsidRDefault="00D372C4">
          <w:pPr>
            <w:pStyle w:val="Sommario3"/>
            <w:rPr>
              <w:rFonts w:asciiTheme="minorHAnsi" w:eastAsiaTheme="minorEastAsia" w:hAnsiTheme="minorHAnsi" w:cstheme="minorBidi"/>
              <w:iCs w:val="0"/>
              <w:noProof/>
              <w:sz w:val="22"/>
              <w:szCs w:val="22"/>
              <w:lang w:eastAsia="it-IT"/>
            </w:rPr>
          </w:pPr>
          <w:hyperlink w:anchor="_Toc95495904" w:history="1">
            <w:r w:rsidR="006574B4" w:rsidRPr="001535DD">
              <w:rPr>
                <w:rStyle w:val="Collegamentoipertestuale"/>
                <w:rFonts w:ascii="Titillium" w:hAnsi="Titillium"/>
                <w:noProof/>
              </w:rPr>
              <w:t>14.4</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DOCUMENTAZIONE IN CASO DI AVVALIMENTO</w:t>
            </w:r>
            <w:r w:rsidR="006574B4">
              <w:rPr>
                <w:noProof/>
              </w:rPr>
              <w:tab/>
            </w:r>
            <w:r w:rsidR="006574B4">
              <w:rPr>
                <w:noProof/>
              </w:rPr>
              <w:fldChar w:fldCharType="begin"/>
            </w:r>
            <w:r w:rsidR="006574B4">
              <w:rPr>
                <w:noProof/>
              </w:rPr>
              <w:instrText xml:space="preserve"> PAGEREF _Toc95495904 \h </w:instrText>
            </w:r>
            <w:r w:rsidR="006574B4">
              <w:rPr>
                <w:noProof/>
              </w:rPr>
            </w:r>
            <w:r w:rsidR="006574B4">
              <w:rPr>
                <w:noProof/>
              </w:rPr>
              <w:fldChar w:fldCharType="separate"/>
            </w:r>
            <w:r w:rsidR="006F0CBC">
              <w:rPr>
                <w:noProof/>
              </w:rPr>
              <w:t>36</w:t>
            </w:r>
            <w:r w:rsidR="006574B4">
              <w:rPr>
                <w:noProof/>
              </w:rPr>
              <w:fldChar w:fldCharType="end"/>
            </w:r>
          </w:hyperlink>
        </w:p>
        <w:p w14:paraId="18651E4F" w14:textId="27F2017C" w:rsidR="006574B4" w:rsidRDefault="00D372C4">
          <w:pPr>
            <w:pStyle w:val="Sommario3"/>
            <w:rPr>
              <w:rFonts w:asciiTheme="minorHAnsi" w:eastAsiaTheme="minorEastAsia" w:hAnsiTheme="minorHAnsi" w:cstheme="minorBidi"/>
              <w:iCs w:val="0"/>
              <w:noProof/>
              <w:sz w:val="22"/>
              <w:szCs w:val="22"/>
              <w:lang w:eastAsia="it-IT"/>
            </w:rPr>
          </w:pPr>
          <w:hyperlink w:anchor="_Toc95495905" w:history="1">
            <w:r w:rsidR="006574B4" w:rsidRPr="001535DD">
              <w:rPr>
                <w:rStyle w:val="Collegamentoipertestuale"/>
                <w:rFonts w:ascii="Titillium" w:hAnsi="Titillium"/>
                <w:noProof/>
              </w:rPr>
              <w:t>14.5</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 xml:space="preserve">CAMPIONI </w:t>
            </w:r>
            <w:r w:rsidR="006574B4" w:rsidRPr="001535DD">
              <w:rPr>
                <w:rStyle w:val="Collegamentoipertestuale"/>
                <w:rFonts w:ascii="Titillium" w:hAnsi="Titillium" w:cs="Arial"/>
                <w:i/>
                <w:noProof/>
              </w:rPr>
              <w:t>[IN CASO DI RICHIESTA DI P</w:t>
            </w:r>
            <w:r w:rsidR="006574B4" w:rsidRPr="001535DD">
              <w:rPr>
                <w:rStyle w:val="Collegamentoipertestuale"/>
                <w:rFonts w:ascii="Titillium" w:hAnsi="Titillium" w:cs="Calibri"/>
                <w:i/>
                <w:noProof/>
              </w:rPr>
              <w:t>RESENTAZIONE DI CAMPIONI]</w:t>
            </w:r>
            <w:r w:rsidR="006574B4">
              <w:rPr>
                <w:noProof/>
              </w:rPr>
              <w:tab/>
            </w:r>
            <w:r w:rsidR="006574B4">
              <w:rPr>
                <w:noProof/>
              </w:rPr>
              <w:fldChar w:fldCharType="begin"/>
            </w:r>
            <w:r w:rsidR="006574B4">
              <w:rPr>
                <w:noProof/>
              </w:rPr>
              <w:instrText xml:space="preserve"> PAGEREF _Toc95495905 \h </w:instrText>
            </w:r>
            <w:r w:rsidR="006574B4">
              <w:rPr>
                <w:noProof/>
              </w:rPr>
            </w:r>
            <w:r w:rsidR="006574B4">
              <w:rPr>
                <w:noProof/>
              </w:rPr>
              <w:fldChar w:fldCharType="separate"/>
            </w:r>
            <w:r w:rsidR="006F0CBC">
              <w:rPr>
                <w:noProof/>
              </w:rPr>
              <w:t>36</w:t>
            </w:r>
            <w:r w:rsidR="006574B4">
              <w:rPr>
                <w:noProof/>
              </w:rPr>
              <w:fldChar w:fldCharType="end"/>
            </w:r>
          </w:hyperlink>
        </w:p>
        <w:p w14:paraId="7A4889A6" w14:textId="653DA5B0" w:rsidR="006574B4" w:rsidRDefault="00D372C4">
          <w:pPr>
            <w:pStyle w:val="Sommario3"/>
            <w:rPr>
              <w:rFonts w:asciiTheme="minorHAnsi" w:eastAsiaTheme="minorEastAsia" w:hAnsiTheme="minorHAnsi" w:cstheme="minorBidi"/>
              <w:iCs w:val="0"/>
              <w:noProof/>
              <w:sz w:val="22"/>
              <w:szCs w:val="22"/>
              <w:lang w:eastAsia="it-IT"/>
            </w:rPr>
          </w:pPr>
          <w:hyperlink w:anchor="_Toc95495906" w:history="1">
            <w:r w:rsidR="006574B4" w:rsidRPr="001535DD">
              <w:rPr>
                <w:rStyle w:val="Collegamentoipertestuale"/>
                <w:rFonts w:ascii="Titillium" w:hAnsi="Titillium"/>
                <w:noProof/>
              </w:rPr>
              <w:t>14.6</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DOCUMENTAZIONE ULTERIORE PER I SOGGETTI ASSOCIATI</w:t>
            </w:r>
            <w:r w:rsidR="006574B4">
              <w:rPr>
                <w:noProof/>
              </w:rPr>
              <w:tab/>
            </w:r>
            <w:r w:rsidR="006574B4">
              <w:rPr>
                <w:noProof/>
              </w:rPr>
              <w:fldChar w:fldCharType="begin"/>
            </w:r>
            <w:r w:rsidR="006574B4">
              <w:rPr>
                <w:noProof/>
              </w:rPr>
              <w:instrText xml:space="preserve"> PAGEREF _Toc95495906 \h </w:instrText>
            </w:r>
            <w:r w:rsidR="006574B4">
              <w:rPr>
                <w:noProof/>
              </w:rPr>
            </w:r>
            <w:r w:rsidR="006574B4">
              <w:rPr>
                <w:noProof/>
              </w:rPr>
              <w:fldChar w:fldCharType="separate"/>
            </w:r>
            <w:r w:rsidR="006F0CBC">
              <w:rPr>
                <w:noProof/>
              </w:rPr>
              <w:t>36</w:t>
            </w:r>
            <w:r w:rsidR="006574B4">
              <w:rPr>
                <w:noProof/>
              </w:rPr>
              <w:fldChar w:fldCharType="end"/>
            </w:r>
          </w:hyperlink>
        </w:p>
        <w:p w14:paraId="4BD5940C" w14:textId="6A567514" w:rsidR="006574B4" w:rsidRDefault="00D372C4">
          <w:pPr>
            <w:pStyle w:val="Sommario2"/>
            <w:rPr>
              <w:rFonts w:asciiTheme="minorHAnsi" w:eastAsiaTheme="minorEastAsia" w:hAnsiTheme="minorHAnsi" w:cstheme="minorBidi"/>
              <w:smallCaps w:val="0"/>
              <w:noProof/>
              <w:sz w:val="22"/>
              <w:szCs w:val="22"/>
              <w:lang w:eastAsia="it-IT"/>
            </w:rPr>
          </w:pPr>
          <w:hyperlink w:anchor="_Toc95495907" w:history="1">
            <w:r w:rsidR="006574B4" w:rsidRPr="001535DD">
              <w:rPr>
                <w:rStyle w:val="Collegamentoipertestuale"/>
                <w:rFonts w:ascii="Titillium" w:hAnsi="Titillium"/>
                <w:noProof/>
              </w:rPr>
              <w:t>15.</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OFFERTA TECNICA</w:t>
            </w:r>
            <w:r w:rsidR="006574B4">
              <w:rPr>
                <w:noProof/>
              </w:rPr>
              <w:tab/>
            </w:r>
            <w:r w:rsidR="006574B4">
              <w:rPr>
                <w:noProof/>
              </w:rPr>
              <w:fldChar w:fldCharType="begin"/>
            </w:r>
            <w:r w:rsidR="006574B4">
              <w:rPr>
                <w:noProof/>
              </w:rPr>
              <w:instrText xml:space="preserve"> PAGEREF _Toc95495907 \h </w:instrText>
            </w:r>
            <w:r w:rsidR="006574B4">
              <w:rPr>
                <w:noProof/>
              </w:rPr>
            </w:r>
            <w:r w:rsidR="006574B4">
              <w:rPr>
                <w:noProof/>
              </w:rPr>
              <w:fldChar w:fldCharType="separate"/>
            </w:r>
            <w:r w:rsidR="006F0CBC">
              <w:rPr>
                <w:noProof/>
              </w:rPr>
              <w:t>38</w:t>
            </w:r>
            <w:r w:rsidR="006574B4">
              <w:rPr>
                <w:noProof/>
              </w:rPr>
              <w:fldChar w:fldCharType="end"/>
            </w:r>
          </w:hyperlink>
        </w:p>
        <w:p w14:paraId="5B9D7C2E" w14:textId="697EF621" w:rsidR="006574B4" w:rsidRDefault="00D372C4">
          <w:pPr>
            <w:pStyle w:val="Sommario2"/>
            <w:rPr>
              <w:rFonts w:asciiTheme="minorHAnsi" w:eastAsiaTheme="minorEastAsia" w:hAnsiTheme="minorHAnsi" w:cstheme="minorBidi"/>
              <w:smallCaps w:val="0"/>
              <w:noProof/>
              <w:sz w:val="22"/>
              <w:szCs w:val="22"/>
              <w:lang w:eastAsia="it-IT"/>
            </w:rPr>
          </w:pPr>
          <w:hyperlink w:anchor="_Toc95495908" w:history="1">
            <w:r w:rsidR="006574B4" w:rsidRPr="001535DD">
              <w:rPr>
                <w:rStyle w:val="Collegamentoipertestuale"/>
                <w:rFonts w:ascii="Titillium" w:hAnsi="Titillium"/>
                <w:noProof/>
              </w:rPr>
              <w:t>16.</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OFFERTA ECONOMICA</w:t>
            </w:r>
            <w:r w:rsidR="006574B4">
              <w:rPr>
                <w:noProof/>
              </w:rPr>
              <w:tab/>
            </w:r>
            <w:r w:rsidR="006574B4">
              <w:rPr>
                <w:noProof/>
              </w:rPr>
              <w:fldChar w:fldCharType="begin"/>
            </w:r>
            <w:r w:rsidR="006574B4">
              <w:rPr>
                <w:noProof/>
              </w:rPr>
              <w:instrText xml:space="preserve"> PAGEREF _Toc95495908 \h </w:instrText>
            </w:r>
            <w:r w:rsidR="006574B4">
              <w:rPr>
                <w:noProof/>
              </w:rPr>
            </w:r>
            <w:r w:rsidR="006574B4">
              <w:rPr>
                <w:noProof/>
              </w:rPr>
              <w:fldChar w:fldCharType="separate"/>
            </w:r>
            <w:r w:rsidR="006F0CBC">
              <w:rPr>
                <w:noProof/>
              </w:rPr>
              <w:t>38</w:t>
            </w:r>
            <w:r w:rsidR="006574B4">
              <w:rPr>
                <w:noProof/>
              </w:rPr>
              <w:fldChar w:fldCharType="end"/>
            </w:r>
          </w:hyperlink>
        </w:p>
        <w:p w14:paraId="43B1D929" w14:textId="34707DDF" w:rsidR="006574B4" w:rsidRDefault="00D372C4">
          <w:pPr>
            <w:pStyle w:val="Sommario2"/>
            <w:rPr>
              <w:rFonts w:asciiTheme="minorHAnsi" w:eastAsiaTheme="minorEastAsia" w:hAnsiTheme="minorHAnsi" w:cstheme="minorBidi"/>
              <w:smallCaps w:val="0"/>
              <w:noProof/>
              <w:sz w:val="22"/>
              <w:szCs w:val="22"/>
              <w:lang w:eastAsia="it-IT"/>
            </w:rPr>
          </w:pPr>
          <w:hyperlink w:anchor="_Toc95495909" w:history="1">
            <w:r w:rsidR="006574B4" w:rsidRPr="001535DD">
              <w:rPr>
                <w:rStyle w:val="Collegamentoipertestuale"/>
                <w:rFonts w:ascii="Titillium" w:hAnsi="Titillium"/>
                <w:noProof/>
              </w:rPr>
              <w:t>17.</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CRITERIO DI AGGIUDICAZIONE</w:t>
            </w:r>
            <w:r w:rsidR="006574B4">
              <w:rPr>
                <w:noProof/>
              </w:rPr>
              <w:tab/>
            </w:r>
            <w:r w:rsidR="006574B4">
              <w:rPr>
                <w:noProof/>
              </w:rPr>
              <w:fldChar w:fldCharType="begin"/>
            </w:r>
            <w:r w:rsidR="006574B4">
              <w:rPr>
                <w:noProof/>
              </w:rPr>
              <w:instrText xml:space="preserve"> PAGEREF _Toc95495909 \h </w:instrText>
            </w:r>
            <w:r w:rsidR="006574B4">
              <w:rPr>
                <w:noProof/>
              </w:rPr>
            </w:r>
            <w:r w:rsidR="006574B4">
              <w:rPr>
                <w:noProof/>
              </w:rPr>
              <w:fldChar w:fldCharType="separate"/>
            </w:r>
            <w:r w:rsidR="006F0CBC">
              <w:rPr>
                <w:noProof/>
              </w:rPr>
              <w:t>39</w:t>
            </w:r>
            <w:r w:rsidR="006574B4">
              <w:rPr>
                <w:noProof/>
              </w:rPr>
              <w:fldChar w:fldCharType="end"/>
            </w:r>
          </w:hyperlink>
        </w:p>
        <w:p w14:paraId="18E4DBAE" w14:textId="529E6DAA" w:rsidR="006574B4" w:rsidRDefault="00D372C4">
          <w:pPr>
            <w:pStyle w:val="Sommario3"/>
            <w:rPr>
              <w:rFonts w:asciiTheme="minorHAnsi" w:eastAsiaTheme="minorEastAsia" w:hAnsiTheme="minorHAnsi" w:cstheme="minorBidi"/>
              <w:iCs w:val="0"/>
              <w:noProof/>
              <w:sz w:val="22"/>
              <w:szCs w:val="22"/>
              <w:lang w:eastAsia="it-IT"/>
            </w:rPr>
          </w:pPr>
          <w:hyperlink w:anchor="_Toc95495910" w:history="1">
            <w:r w:rsidR="006574B4" w:rsidRPr="001535DD">
              <w:rPr>
                <w:rStyle w:val="Collegamentoipertestuale"/>
                <w:rFonts w:ascii="Titillium" w:hAnsi="Titillium"/>
                <w:noProof/>
              </w:rPr>
              <w:t>17.1</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CRITERI DI VALUTAZIONE DELL’OFFERTA TECNICA</w:t>
            </w:r>
            <w:r w:rsidR="006574B4">
              <w:rPr>
                <w:noProof/>
              </w:rPr>
              <w:tab/>
            </w:r>
            <w:r w:rsidR="006574B4">
              <w:rPr>
                <w:noProof/>
              </w:rPr>
              <w:fldChar w:fldCharType="begin"/>
            </w:r>
            <w:r w:rsidR="006574B4">
              <w:rPr>
                <w:noProof/>
              </w:rPr>
              <w:instrText xml:space="preserve"> PAGEREF _Toc95495910 \h </w:instrText>
            </w:r>
            <w:r w:rsidR="006574B4">
              <w:rPr>
                <w:noProof/>
              </w:rPr>
            </w:r>
            <w:r w:rsidR="006574B4">
              <w:rPr>
                <w:noProof/>
              </w:rPr>
              <w:fldChar w:fldCharType="separate"/>
            </w:r>
            <w:r w:rsidR="006F0CBC">
              <w:rPr>
                <w:noProof/>
              </w:rPr>
              <w:t>39</w:t>
            </w:r>
            <w:r w:rsidR="006574B4">
              <w:rPr>
                <w:noProof/>
              </w:rPr>
              <w:fldChar w:fldCharType="end"/>
            </w:r>
          </w:hyperlink>
        </w:p>
        <w:p w14:paraId="1ECC5743" w14:textId="4ED44B8C" w:rsidR="006574B4" w:rsidRDefault="00D372C4">
          <w:pPr>
            <w:pStyle w:val="Sommario3"/>
            <w:rPr>
              <w:rFonts w:asciiTheme="minorHAnsi" w:eastAsiaTheme="minorEastAsia" w:hAnsiTheme="minorHAnsi" w:cstheme="minorBidi"/>
              <w:iCs w:val="0"/>
              <w:noProof/>
              <w:sz w:val="22"/>
              <w:szCs w:val="22"/>
              <w:lang w:eastAsia="it-IT"/>
            </w:rPr>
          </w:pPr>
          <w:hyperlink w:anchor="_Toc95495911" w:history="1">
            <w:r w:rsidR="006574B4" w:rsidRPr="001535DD">
              <w:rPr>
                <w:rStyle w:val="Collegamentoipertestuale"/>
                <w:rFonts w:ascii="Titillium" w:hAnsi="Titillium"/>
                <w:noProof/>
              </w:rPr>
              <w:t>17.2</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METODO DI ATTRIBUZIONE DEL COEFFICIENTE PER IL CALCOLO DEL PUNTEGGIO DELL’OFFERTA TECNICA</w:t>
            </w:r>
            <w:r w:rsidR="006574B4">
              <w:rPr>
                <w:noProof/>
              </w:rPr>
              <w:tab/>
            </w:r>
            <w:r w:rsidR="006574B4">
              <w:rPr>
                <w:noProof/>
              </w:rPr>
              <w:fldChar w:fldCharType="begin"/>
            </w:r>
            <w:r w:rsidR="006574B4">
              <w:rPr>
                <w:noProof/>
              </w:rPr>
              <w:instrText xml:space="preserve"> PAGEREF _Toc95495911 \h </w:instrText>
            </w:r>
            <w:r w:rsidR="006574B4">
              <w:rPr>
                <w:noProof/>
              </w:rPr>
            </w:r>
            <w:r w:rsidR="006574B4">
              <w:rPr>
                <w:noProof/>
              </w:rPr>
              <w:fldChar w:fldCharType="separate"/>
            </w:r>
            <w:r w:rsidR="006F0CBC">
              <w:rPr>
                <w:noProof/>
              </w:rPr>
              <w:t>40</w:t>
            </w:r>
            <w:r w:rsidR="006574B4">
              <w:rPr>
                <w:noProof/>
              </w:rPr>
              <w:fldChar w:fldCharType="end"/>
            </w:r>
          </w:hyperlink>
        </w:p>
        <w:p w14:paraId="203C6FE5" w14:textId="13F9E90B" w:rsidR="006574B4" w:rsidRDefault="00D372C4">
          <w:pPr>
            <w:pStyle w:val="Sommario3"/>
            <w:rPr>
              <w:rFonts w:asciiTheme="minorHAnsi" w:eastAsiaTheme="minorEastAsia" w:hAnsiTheme="minorHAnsi" w:cstheme="minorBidi"/>
              <w:iCs w:val="0"/>
              <w:noProof/>
              <w:sz w:val="22"/>
              <w:szCs w:val="22"/>
              <w:lang w:eastAsia="it-IT"/>
            </w:rPr>
          </w:pPr>
          <w:hyperlink w:anchor="_Toc95495912" w:history="1">
            <w:r w:rsidR="006574B4" w:rsidRPr="001535DD">
              <w:rPr>
                <w:rStyle w:val="Collegamentoipertestuale"/>
                <w:rFonts w:ascii="Titillium" w:hAnsi="Titillium"/>
                <w:noProof/>
              </w:rPr>
              <w:t>17.3</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METODO DI ATTRIBUZIONE DEL COEFFICIENTE PER IL CALCOLO DEL PUNTEGGIO DELL’OFFERTA ECONOMICA</w:t>
            </w:r>
            <w:r w:rsidR="006574B4">
              <w:rPr>
                <w:noProof/>
              </w:rPr>
              <w:tab/>
            </w:r>
            <w:r w:rsidR="006574B4">
              <w:rPr>
                <w:noProof/>
              </w:rPr>
              <w:fldChar w:fldCharType="begin"/>
            </w:r>
            <w:r w:rsidR="006574B4">
              <w:rPr>
                <w:noProof/>
              </w:rPr>
              <w:instrText xml:space="preserve"> PAGEREF _Toc95495912 \h </w:instrText>
            </w:r>
            <w:r w:rsidR="006574B4">
              <w:rPr>
                <w:noProof/>
              </w:rPr>
            </w:r>
            <w:r w:rsidR="006574B4">
              <w:rPr>
                <w:noProof/>
              </w:rPr>
              <w:fldChar w:fldCharType="separate"/>
            </w:r>
            <w:r w:rsidR="006F0CBC">
              <w:rPr>
                <w:noProof/>
              </w:rPr>
              <w:t>41</w:t>
            </w:r>
            <w:r w:rsidR="006574B4">
              <w:rPr>
                <w:noProof/>
              </w:rPr>
              <w:fldChar w:fldCharType="end"/>
            </w:r>
          </w:hyperlink>
        </w:p>
        <w:p w14:paraId="499D73C4" w14:textId="18ED6C71" w:rsidR="006574B4" w:rsidRDefault="00D372C4">
          <w:pPr>
            <w:pStyle w:val="Sommario3"/>
            <w:rPr>
              <w:rFonts w:asciiTheme="minorHAnsi" w:eastAsiaTheme="minorEastAsia" w:hAnsiTheme="minorHAnsi" w:cstheme="minorBidi"/>
              <w:iCs w:val="0"/>
              <w:noProof/>
              <w:sz w:val="22"/>
              <w:szCs w:val="22"/>
              <w:lang w:eastAsia="it-IT"/>
            </w:rPr>
          </w:pPr>
          <w:hyperlink w:anchor="_Toc95495913" w:history="1">
            <w:r w:rsidR="006574B4" w:rsidRPr="001535DD">
              <w:rPr>
                <w:rStyle w:val="Collegamentoipertestuale"/>
                <w:rFonts w:ascii="Titillium" w:hAnsi="Titillium"/>
                <w:noProof/>
              </w:rPr>
              <w:t>17.4</w:t>
            </w:r>
            <w:r w:rsidR="006574B4">
              <w:rPr>
                <w:rFonts w:asciiTheme="minorHAnsi" w:eastAsiaTheme="minorEastAsia" w:hAnsiTheme="minorHAnsi" w:cstheme="minorBidi"/>
                <w:iCs w:val="0"/>
                <w:noProof/>
                <w:sz w:val="22"/>
                <w:szCs w:val="22"/>
                <w:lang w:eastAsia="it-IT"/>
              </w:rPr>
              <w:tab/>
            </w:r>
            <w:r w:rsidR="006574B4" w:rsidRPr="001535DD">
              <w:rPr>
                <w:rStyle w:val="Collegamentoipertestuale"/>
                <w:rFonts w:ascii="Titillium" w:hAnsi="Titillium"/>
                <w:noProof/>
              </w:rPr>
              <w:t>METODO PER IL CALCOLO DEI PUNTEGGI</w:t>
            </w:r>
            <w:r w:rsidR="006574B4">
              <w:rPr>
                <w:noProof/>
              </w:rPr>
              <w:tab/>
            </w:r>
            <w:r w:rsidR="006574B4">
              <w:rPr>
                <w:noProof/>
              </w:rPr>
              <w:fldChar w:fldCharType="begin"/>
            </w:r>
            <w:r w:rsidR="006574B4">
              <w:rPr>
                <w:noProof/>
              </w:rPr>
              <w:instrText xml:space="preserve"> PAGEREF _Toc95495913 \h </w:instrText>
            </w:r>
            <w:r w:rsidR="006574B4">
              <w:rPr>
                <w:noProof/>
              </w:rPr>
            </w:r>
            <w:r w:rsidR="006574B4">
              <w:rPr>
                <w:noProof/>
              </w:rPr>
              <w:fldChar w:fldCharType="separate"/>
            </w:r>
            <w:r w:rsidR="006F0CBC">
              <w:rPr>
                <w:noProof/>
              </w:rPr>
              <w:t>42</w:t>
            </w:r>
            <w:r w:rsidR="006574B4">
              <w:rPr>
                <w:noProof/>
              </w:rPr>
              <w:fldChar w:fldCharType="end"/>
            </w:r>
          </w:hyperlink>
        </w:p>
        <w:p w14:paraId="386EFC4C" w14:textId="4A44B0A5" w:rsidR="006574B4" w:rsidRDefault="00D372C4">
          <w:pPr>
            <w:pStyle w:val="Sommario2"/>
            <w:rPr>
              <w:rFonts w:asciiTheme="minorHAnsi" w:eastAsiaTheme="minorEastAsia" w:hAnsiTheme="minorHAnsi" w:cstheme="minorBidi"/>
              <w:smallCaps w:val="0"/>
              <w:noProof/>
              <w:sz w:val="22"/>
              <w:szCs w:val="22"/>
              <w:lang w:eastAsia="it-IT"/>
            </w:rPr>
          </w:pPr>
          <w:hyperlink w:anchor="_Toc95495914" w:history="1">
            <w:r w:rsidR="006574B4" w:rsidRPr="001535DD">
              <w:rPr>
                <w:rStyle w:val="Collegamentoipertestuale"/>
                <w:rFonts w:ascii="Titillium" w:hAnsi="Titillium"/>
                <w:noProof/>
              </w:rPr>
              <w:t>18.</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COMMISSIONE GIUDICATRICE</w:t>
            </w:r>
            <w:r w:rsidR="006574B4">
              <w:rPr>
                <w:noProof/>
              </w:rPr>
              <w:tab/>
            </w:r>
            <w:r w:rsidR="006574B4">
              <w:rPr>
                <w:noProof/>
              </w:rPr>
              <w:fldChar w:fldCharType="begin"/>
            </w:r>
            <w:r w:rsidR="006574B4">
              <w:rPr>
                <w:noProof/>
              </w:rPr>
              <w:instrText xml:space="preserve"> PAGEREF _Toc95495914 \h </w:instrText>
            </w:r>
            <w:r w:rsidR="006574B4">
              <w:rPr>
                <w:noProof/>
              </w:rPr>
            </w:r>
            <w:r w:rsidR="006574B4">
              <w:rPr>
                <w:noProof/>
              </w:rPr>
              <w:fldChar w:fldCharType="separate"/>
            </w:r>
            <w:r w:rsidR="006F0CBC">
              <w:rPr>
                <w:noProof/>
              </w:rPr>
              <w:t>42</w:t>
            </w:r>
            <w:r w:rsidR="006574B4">
              <w:rPr>
                <w:noProof/>
              </w:rPr>
              <w:fldChar w:fldCharType="end"/>
            </w:r>
          </w:hyperlink>
        </w:p>
        <w:p w14:paraId="14D1BE23" w14:textId="630E0F7B" w:rsidR="006574B4" w:rsidRDefault="00D372C4">
          <w:pPr>
            <w:pStyle w:val="Sommario2"/>
            <w:rPr>
              <w:rFonts w:asciiTheme="minorHAnsi" w:eastAsiaTheme="minorEastAsia" w:hAnsiTheme="minorHAnsi" w:cstheme="minorBidi"/>
              <w:smallCaps w:val="0"/>
              <w:noProof/>
              <w:sz w:val="22"/>
              <w:szCs w:val="22"/>
              <w:lang w:eastAsia="it-IT"/>
            </w:rPr>
          </w:pPr>
          <w:hyperlink w:anchor="_Toc95495915" w:history="1">
            <w:r w:rsidR="006574B4" w:rsidRPr="001535DD">
              <w:rPr>
                <w:rStyle w:val="Collegamentoipertestuale"/>
                <w:rFonts w:ascii="Titillium" w:hAnsi="Titillium"/>
                <w:noProof/>
              </w:rPr>
              <w:t>19.</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SVOLGIMENTO delle OPERAZIONI DI GARA</w:t>
            </w:r>
            <w:r w:rsidR="006574B4">
              <w:rPr>
                <w:noProof/>
              </w:rPr>
              <w:tab/>
            </w:r>
            <w:r w:rsidR="006574B4">
              <w:rPr>
                <w:noProof/>
              </w:rPr>
              <w:fldChar w:fldCharType="begin"/>
            </w:r>
            <w:r w:rsidR="006574B4">
              <w:rPr>
                <w:noProof/>
              </w:rPr>
              <w:instrText xml:space="preserve"> PAGEREF _Toc95495915 \h </w:instrText>
            </w:r>
            <w:r w:rsidR="006574B4">
              <w:rPr>
                <w:noProof/>
              </w:rPr>
            </w:r>
            <w:r w:rsidR="006574B4">
              <w:rPr>
                <w:noProof/>
              </w:rPr>
              <w:fldChar w:fldCharType="separate"/>
            </w:r>
            <w:r w:rsidR="006F0CBC">
              <w:rPr>
                <w:noProof/>
              </w:rPr>
              <w:t>43</w:t>
            </w:r>
            <w:r w:rsidR="006574B4">
              <w:rPr>
                <w:noProof/>
              </w:rPr>
              <w:fldChar w:fldCharType="end"/>
            </w:r>
          </w:hyperlink>
        </w:p>
        <w:p w14:paraId="4D7805FA" w14:textId="733C4A7C" w:rsidR="006574B4" w:rsidRDefault="00D372C4">
          <w:pPr>
            <w:pStyle w:val="Sommario2"/>
            <w:rPr>
              <w:rFonts w:asciiTheme="minorHAnsi" w:eastAsiaTheme="minorEastAsia" w:hAnsiTheme="minorHAnsi" w:cstheme="minorBidi"/>
              <w:smallCaps w:val="0"/>
              <w:noProof/>
              <w:sz w:val="22"/>
              <w:szCs w:val="22"/>
              <w:lang w:eastAsia="it-IT"/>
            </w:rPr>
          </w:pPr>
          <w:hyperlink w:anchor="_Toc95495916" w:history="1">
            <w:r w:rsidR="006574B4" w:rsidRPr="001535DD">
              <w:rPr>
                <w:rStyle w:val="Collegamentoipertestuale"/>
                <w:rFonts w:ascii="Titillium" w:hAnsi="Titillium"/>
                <w:noProof/>
              </w:rPr>
              <w:t>20.</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VERIFICA DOCUMENTAZIONE AMMINISTRATIVA</w:t>
            </w:r>
            <w:r w:rsidR="006574B4">
              <w:rPr>
                <w:noProof/>
              </w:rPr>
              <w:tab/>
            </w:r>
            <w:r w:rsidR="006574B4">
              <w:rPr>
                <w:noProof/>
              </w:rPr>
              <w:fldChar w:fldCharType="begin"/>
            </w:r>
            <w:r w:rsidR="006574B4">
              <w:rPr>
                <w:noProof/>
              </w:rPr>
              <w:instrText xml:space="preserve"> PAGEREF _Toc95495916 \h </w:instrText>
            </w:r>
            <w:r w:rsidR="006574B4">
              <w:rPr>
                <w:noProof/>
              </w:rPr>
            </w:r>
            <w:r w:rsidR="006574B4">
              <w:rPr>
                <w:noProof/>
              </w:rPr>
              <w:fldChar w:fldCharType="separate"/>
            </w:r>
            <w:r w:rsidR="006F0CBC">
              <w:rPr>
                <w:noProof/>
              </w:rPr>
              <w:t>43</w:t>
            </w:r>
            <w:r w:rsidR="006574B4">
              <w:rPr>
                <w:noProof/>
              </w:rPr>
              <w:fldChar w:fldCharType="end"/>
            </w:r>
          </w:hyperlink>
        </w:p>
        <w:p w14:paraId="108A29AE" w14:textId="5871E653" w:rsidR="006574B4" w:rsidRDefault="00D372C4">
          <w:pPr>
            <w:pStyle w:val="Sommario2"/>
            <w:rPr>
              <w:rFonts w:asciiTheme="minorHAnsi" w:eastAsiaTheme="minorEastAsia" w:hAnsiTheme="minorHAnsi" w:cstheme="minorBidi"/>
              <w:smallCaps w:val="0"/>
              <w:noProof/>
              <w:sz w:val="22"/>
              <w:szCs w:val="22"/>
              <w:lang w:eastAsia="it-IT"/>
            </w:rPr>
          </w:pPr>
          <w:hyperlink w:anchor="_Toc95495917" w:history="1">
            <w:r w:rsidR="006574B4" w:rsidRPr="001535DD">
              <w:rPr>
                <w:rStyle w:val="Collegamentoipertestuale"/>
                <w:rFonts w:ascii="Titillium" w:hAnsi="Titillium"/>
                <w:noProof/>
              </w:rPr>
              <w:t>21.</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VALUTAZIONE DELLE OFFERTE TECNICHE ED ECONOMICHE</w:t>
            </w:r>
            <w:r w:rsidR="006574B4">
              <w:rPr>
                <w:noProof/>
              </w:rPr>
              <w:tab/>
            </w:r>
            <w:r w:rsidR="006574B4">
              <w:rPr>
                <w:noProof/>
              </w:rPr>
              <w:fldChar w:fldCharType="begin"/>
            </w:r>
            <w:r w:rsidR="006574B4">
              <w:rPr>
                <w:noProof/>
              </w:rPr>
              <w:instrText xml:space="preserve"> PAGEREF _Toc95495917 \h </w:instrText>
            </w:r>
            <w:r w:rsidR="006574B4">
              <w:rPr>
                <w:noProof/>
              </w:rPr>
            </w:r>
            <w:r w:rsidR="006574B4">
              <w:rPr>
                <w:noProof/>
              </w:rPr>
              <w:fldChar w:fldCharType="separate"/>
            </w:r>
            <w:r w:rsidR="006F0CBC">
              <w:rPr>
                <w:noProof/>
              </w:rPr>
              <w:t>44</w:t>
            </w:r>
            <w:r w:rsidR="006574B4">
              <w:rPr>
                <w:noProof/>
              </w:rPr>
              <w:fldChar w:fldCharType="end"/>
            </w:r>
          </w:hyperlink>
        </w:p>
        <w:p w14:paraId="1F6DB43B" w14:textId="570F35F6" w:rsidR="006574B4" w:rsidRDefault="00D372C4">
          <w:pPr>
            <w:pStyle w:val="Sommario2"/>
            <w:rPr>
              <w:rFonts w:asciiTheme="minorHAnsi" w:eastAsiaTheme="minorEastAsia" w:hAnsiTheme="minorHAnsi" w:cstheme="minorBidi"/>
              <w:smallCaps w:val="0"/>
              <w:noProof/>
              <w:sz w:val="22"/>
              <w:szCs w:val="22"/>
              <w:lang w:eastAsia="it-IT"/>
            </w:rPr>
          </w:pPr>
          <w:hyperlink w:anchor="_Toc95495918" w:history="1">
            <w:r w:rsidR="006574B4" w:rsidRPr="001535DD">
              <w:rPr>
                <w:rStyle w:val="Collegamentoipertestuale"/>
                <w:rFonts w:ascii="Titillium" w:hAnsi="Titillium"/>
                <w:noProof/>
              </w:rPr>
              <w:t>22.</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VERIFICA DI ANOMALIA DELLE OFFERTE</w:t>
            </w:r>
            <w:r w:rsidR="006574B4">
              <w:rPr>
                <w:noProof/>
              </w:rPr>
              <w:tab/>
            </w:r>
            <w:r w:rsidR="006574B4">
              <w:rPr>
                <w:noProof/>
              </w:rPr>
              <w:fldChar w:fldCharType="begin"/>
            </w:r>
            <w:r w:rsidR="006574B4">
              <w:rPr>
                <w:noProof/>
              </w:rPr>
              <w:instrText xml:space="preserve"> PAGEREF _Toc95495918 \h </w:instrText>
            </w:r>
            <w:r w:rsidR="006574B4">
              <w:rPr>
                <w:noProof/>
              </w:rPr>
            </w:r>
            <w:r w:rsidR="006574B4">
              <w:rPr>
                <w:noProof/>
              </w:rPr>
              <w:fldChar w:fldCharType="separate"/>
            </w:r>
            <w:r w:rsidR="006F0CBC">
              <w:rPr>
                <w:noProof/>
              </w:rPr>
              <w:t>45</w:t>
            </w:r>
            <w:r w:rsidR="006574B4">
              <w:rPr>
                <w:noProof/>
              </w:rPr>
              <w:fldChar w:fldCharType="end"/>
            </w:r>
          </w:hyperlink>
        </w:p>
        <w:p w14:paraId="4EA801DE" w14:textId="7E73CE82" w:rsidR="006574B4" w:rsidRDefault="00D372C4">
          <w:pPr>
            <w:pStyle w:val="Sommario2"/>
            <w:rPr>
              <w:rFonts w:asciiTheme="minorHAnsi" w:eastAsiaTheme="minorEastAsia" w:hAnsiTheme="minorHAnsi" w:cstheme="minorBidi"/>
              <w:smallCaps w:val="0"/>
              <w:noProof/>
              <w:sz w:val="22"/>
              <w:szCs w:val="22"/>
              <w:lang w:eastAsia="it-IT"/>
            </w:rPr>
          </w:pPr>
          <w:hyperlink w:anchor="_Toc95495919" w:history="1">
            <w:r w:rsidR="006574B4" w:rsidRPr="001535DD">
              <w:rPr>
                <w:rStyle w:val="Collegamentoipertestuale"/>
                <w:rFonts w:ascii="Titillium" w:hAnsi="Titillium"/>
                <w:noProof/>
              </w:rPr>
              <w:t>22.</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eastAsia="SimSun" w:hAnsi="Titillium" w:cs="Calibri"/>
                <w:noProof/>
              </w:rPr>
              <w:t>VERIFICA DELLA DOCUMENTAZIONE AMMINISTRATIVA</w:t>
            </w:r>
            <w:r w:rsidR="006574B4">
              <w:rPr>
                <w:noProof/>
              </w:rPr>
              <w:tab/>
            </w:r>
            <w:r w:rsidR="006574B4">
              <w:rPr>
                <w:noProof/>
              </w:rPr>
              <w:fldChar w:fldCharType="begin"/>
            </w:r>
            <w:r w:rsidR="006574B4">
              <w:rPr>
                <w:noProof/>
              </w:rPr>
              <w:instrText xml:space="preserve"> PAGEREF _Toc95495919 \h </w:instrText>
            </w:r>
            <w:r w:rsidR="006574B4">
              <w:rPr>
                <w:noProof/>
              </w:rPr>
            </w:r>
            <w:r w:rsidR="006574B4">
              <w:rPr>
                <w:noProof/>
              </w:rPr>
              <w:fldChar w:fldCharType="separate"/>
            </w:r>
            <w:r w:rsidR="006F0CBC">
              <w:rPr>
                <w:noProof/>
              </w:rPr>
              <w:t>46</w:t>
            </w:r>
            <w:r w:rsidR="006574B4">
              <w:rPr>
                <w:noProof/>
              </w:rPr>
              <w:fldChar w:fldCharType="end"/>
            </w:r>
          </w:hyperlink>
        </w:p>
        <w:p w14:paraId="1E5C7199" w14:textId="40574FEB" w:rsidR="006574B4" w:rsidRDefault="00D372C4">
          <w:pPr>
            <w:pStyle w:val="Sommario2"/>
            <w:rPr>
              <w:rFonts w:asciiTheme="minorHAnsi" w:eastAsiaTheme="minorEastAsia" w:hAnsiTheme="minorHAnsi" w:cstheme="minorBidi"/>
              <w:smallCaps w:val="0"/>
              <w:noProof/>
              <w:sz w:val="22"/>
              <w:szCs w:val="22"/>
              <w:lang w:eastAsia="it-IT"/>
            </w:rPr>
          </w:pPr>
          <w:hyperlink w:anchor="_Toc95495920" w:history="1">
            <w:r w:rsidR="006574B4" w:rsidRPr="001535DD">
              <w:rPr>
                <w:rStyle w:val="Collegamentoipertestuale"/>
                <w:rFonts w:ascii="Titillium" w:hAnsi="Titillium"/>
                <w:noProof/>
              </w:rPr>
              <w:t>23.</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AGGIUDICAZIONE DELL’APPALTO E STIPULA DEL CONTRATTO</w:t>
            </w:r>
            <w:r w:rsidR="006574B4">
              <w:rPr>
                <w:noProof/>
              </w:rPr>
              <w:tab/>
            </w:r>
            <w:r w:rsidR="006574B4">
              <w:rPr>
                <w:noProof/>
              </w:rPr>
              <w:fldChar w:fldCharType="begin"/>
            </w:r>
            <w:r w:rsidR="006574B4">
              <w:rPr>
                <w:noProof/>
              </w:rPr>
              <w:instrText xml:space="preserve"> PAGEREF _Toc95495920 \h </w:instrText>
            </w:r>
            <w:r w:rsidR="006574B4">
              <w:rPr>
                <w:noProof/>
              </w:rPr>
            </w:r>
            <w:r w:rsidR="006574B4">
              <w:rPr>
                <w:noProof/>
              </w:rPr>
              <w:fldChar w:fldCharType="separate"/>
            </w:r>
            <w:r w:rsidR="006F0CBC">
              <w:rPr>
                <w:noProof/>
              </w:rPr>
              <w:t>46</w:t>
            </w:r>
            <w:r w:rsidR="006574B4">
              <w:rPr>
                <w:noProof/>
              </w:rPr>
              <w:fldChar w:fldCharType="end"/>
            </w:r>
          </w:hyperlink>
        </w:p>
        <w:p w14:paraId="5B7ECD27" w14:textId="07B7CB64" w:rsidR="006574B4" w:rsidRDefault="00D372C4">
          <w:pPr>
            <w:pStyle w:val="Sommario2"/>
            <w:rPr>
              <w:rFonts w:asciiTheme="minorHAnsi" w:eastAsiaTheme="minorEastAsia" w:hAnsiTheme="minorHAnsi" w:cstheme="minorBidi"/>
              <w:smallCaps w:val="0"/>
              <w:noProof/>
              <w:sz w:val="22"/>
              <w:szCs w:val="22"/>
              <w:lang w:eastAsia="it-IT"/>
            </w:rPr>
          </w:pPr>
          <w:hyperlink w:anchor="_Toc95495921" w:history="1">
            <w:r w:rsidR="006574B4" w:rsidRPr="001535DD">
              <w:rPr>
                <w:rStyle w:val="Collegamentoipertestuale"/>
                <w:rFonts w:ascii="Titillium" w:hAnsi="Titillium"/>
                <w:noProof/>
              </w:rPr>
              <w:t>24.</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OBBLIGHI RELATIVI ALLA TRACCIABILITÀ DEI FLUSSI FINANZIARI</w:t>
            </w:r>
            <w:r w:rsidR="006574B4">
              <w:rPr>
                <w:noProof/>
              </w:rPr>
              <w:tab/>
            </w:r>
            <w:r w:rsidR="006574B4">
              <w:rPr>
                <w:noProof/>
              </w:rPr>
              <w:fldChar w:fldCharType="begin"/>
            </w:r>
            <w:r w:rsidR="006574B4">
              <w:rPr>
                <w:noProof/>
              </w:rPr>
              <w:instrText xml:space="preserve"> PAGEREF _Toc95495921 \h </w:instrText>
            </w:r>
            <w:r w:rsidR="006574B4">
              <w:rPr>
                <w:noProof/>
              </w:rPr>
            </w:r>
            <w:r w:rsidR="006574B4">
              <w:rPr>
                <w:noProof/>
              </w:rPr>
              <w:fldChar w:fldCharType="separate"/>
            </w:r>
            <w:r w:rsidR="006F0CBC">
              <w:rPr>
                <w:noProof/>
              </w:rPr>
              <w:t>47</w:t>
            </w:r>
            <w:r w:rsidR="006574B4">
              <w:rPr>
                <w:noProof/>
              </w:rPr>
              <w:fldChar w:fldCharType="end"/>
            </w:r>
          </w:hyperlink>
        </w:p>
        <w:p w14:paraId="2A913174" w14:textId="43A6FA6D" w:rsidR="006574B4" w:rsidRDefault="00D372C4">
          <w:pPr>
            <w:pStyle w:val="Sommario2"/>
            <w:rPr>
              <w:rFonts w:asciiTheme="minorHAnsi" w:eastAsiaTheme="minorEastAsia" w:hAnsiTheme="minorHAnsi" w:cstheme="minorBidi"/>
              <w:smallCaps w:val="0"/>
              <w:noProof/>
              <w:sz w:val="22"/>
              <w:szCs w:val="22"/>
              <w:lang w:eastAsia="it-IT"/>
            </w:rPr>
          </w:pPr>
          <w:hyperlink w:anchor="_Toc95495922" w:history="1">
            <w:r w:rsidR="006574B4" w:rsidRPr="001535DD">
              <w:rPr>
                <w:rStyle w:val="Collegamentoipertestuale"/>
                <w:rFonts w:ascii="Titillium" w:hAnsi="Titillium"/>
                <w:noProof/>
              </w:rPr>
              <w:t>25.</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[Facoltativo</w:t>
            </w:r>
            <w:r w:rsidR="006574B4" w:rsidRPr="001535DD">
              <w:rPr>
                <w:rStyle w:val="Collegamentoipertestuale"/>
                <w:rFonts w:ascii="Titillium" w:hAnsi="Titillium"/>
                <w:i/>
                <w:noProof/>
              </w:rPr>
              <w:t xml:space="preserve"> </w:t>
            </w:r>
            <w:r w:rsidR="006574B4" w:rsidRPr="001535DD">
              <w:rPr>
                <w:rStyle w:val="Collegamentoipertestuale"/>
                <w:rFonts w:ascii="Titillium" w:hAnsi="Titillium"/>
                <w:noProof/>
              </w:rPr>
              <w:t>CLAUSOLA SOCIALE E ALTRE CONDIZIONI PARTICOLARI DI ESECUZIONE]</w:t>
            </w:r>
            <w:r w:rsidR="006574B4">
              <w:rPr>
                <w:noProof/>
              </w:rPr>
              <w:tab/>
            </w:r>
            <w:r w:rsidR="006574B4">
              <w:rPr>
                <w:noProof/>
              </w:rPr>
              <w:fldChar w:fldCharType="begin"/>
            </w:r>
            <w:r w:rsidR="006574B4">
              <w:rPr>
                <w:noProof/>
              </w:rPr>
              <w:instrText xml:space="preserve"> PAGEREF _Toc95495922 \h </w:instrText>
            </w:r>
            <w:r w:rsidR="006574B4">
              <w:rPr>
                <w:noProof/>
              </w:rPr>
            </w:r>
            <w:r w:rsidR="006574B4">
              <w:rPr>
                <w:noProof/>
              </w:rPr>
              <w:fldChar w:fldCharType="separate"/>
            </w:r>
            <w:r w:rsidR="006F0CBC">
              <w:rPr>
                <w:noProof/>
              </w:rPr>
              <w:t>48</w:t>
            </w:r>
            <w:r w:rsidR="006574B4">
              <w:rPr>
                <w:noProof/>
              </w:rPr>
              <w:fldChar w:fldCharType="end"/>
            </w:r>
          </w:hyperlink>
        </w:p>
        <w:p w14:paraId="1F22F247" w14:textId="31AC1666" w:rsidR="006574B4" w:rsidRDefault="00D372C4">
          <w:pPr>
            <w:pStyle w:val="Sommario2"/>
            <w:rPr>
              <w:rFonts w:asciiTheme="minorHAnsi" w:eastAsiaTheme="minorEastAsia" w:hAnsiTheme="minorHAnsi" w:cstheme="minorBidi"/>
              <w:smallCaps w:val="0"/>
              <w:noProof/>
              <w:sz w:val="22"/>
              <w:szCs w:val="22"/>
              <w:lang w:eastAsia="it-IT"/>
            </w:rPr>
          </w:pPr>
          <w:hyperlink w:anchor="_Toc95495923" w:history="1">
            <w:r w:rsidR="006574B4" w:rsidRPr="001535DD">
              <w:rPr>
                <w:rStyle w:val="Collegamentoipertestuale"/>
                <w:rFonts w:ascii="Titillium" w:hAnsi="Titillium"/>
                <w:noProof/>
              </w:rPr>
              <w:t>26.</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CODICE DI COMPORTAMENTO</w:t>
            </w:r>
            <w:r w:rsidR="006574B4">
              <w:rPr>
                <w:noProof/>
              </w:rPr>
              <w:tab/>
            </w:r>
            <w:r w:rsidR="006574B4">
              <w:rPr>
                <w:noProof/>
              </w:rPr>
              <w:fldChar w:fldCharType="begin"/>
            </w:r>
            <w:r w:rsidR="006574B4">
              <w:rPr>
                <w:noProof/>
              </w:rPr>
              <w:instrText xml:space="preserve"> PAGEREF _Toc95495923 \h </w:instrText>
            </w:r>
            <w:r w:rsidR="006574B4">
              <w:rPr>
                <w:noProof/>
              </w:rPr>
            </w:r>
            <w:r w:rsidR="006574B4">
              <w:rPr>
                <w:noProof/>
              </w:rPr>
              <w:fldChar w:fldCharType="separate"/>
            </w:r>
            <w:r w:rsidR="006F0CBC">
              <w:rPr>
                <w:noProof/>
              </w:rPr>
              <w:t>49</w:t>
            </w:r>
            <w:r w:rsidR="006574B4">
              <w:rPr>
                <w:noProof/>
              </w:rPr>
              <w:fldChar w:fldCharType="end"/>
            </w:r>
          </w:hyperlink>
        </w:p>
        <w:p w14:paraId="1AB55E0B" w14:textId="168151DE" w:rsidR="006574B4" w:rsidRDefault="00D372C4">
          <w:pPr>
            <w:pStyle w:val="Sommario2"/>
            <w:rPr>
              <w:rFonts w:asciiTheme="minorHAnsi" w:eastAsiaTheme="minorEastAsia" w:hAnsiTheme="minorHAnsi" w:cstheme="minorBidi"/>
              <w:smallCaps w:val="0"/>
              <w:noProof/>
              <w:sz w:val="22"/>
              <w:szCs w:val="22"/>
              <w:lang w:eastAsia="it-IT"/>
            </w:rPr>
          </w:pPr>
          <w:hyperlink w:anchor="_Toc95495924" w:history="1">
            <w:r w:rsidR="006574B4" w:rsidRPr="001535DD">
              <w:rPr>
                <w:rStyle w:val="Collegamentoipertestuale"/>
                <w:rFonts w:ascii="Titillium" w:hAnsi="Titillium"/>
                <w:noProof/>
              </w:rPr>
              <w:t>27.</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ACCESSO AGLI ATTI</w:t>
            </w:r>
            <w:r w:rsidR="006574B4">
              <w:rPr>
                <w:noProof/>
              </w:rPr>
              <w:tab/>
            </w:r>
            <w:r w:rsidR="006574B4">
              <w:rPr>
                <w:noProof/>
              </w:rPr>
              <w:fldChar w:fldCharType="begin"/>
            </w:r>
            <w:r w:rsidR="006574B4">
              <w:rPr>
                <w:noProof/>
              </w:rPr>
              <w:instrText xml:space="preserve"> PAGEREF _Toc95495924 \h </w:instrText>
            </w:r>
            <w:r w:rsidR="006574B4">
              <w:rPr>
                <w:noProof/>
              </w:rPr>
            </w:r>
            <w:r w:rsidR="006574B4">
              <w:rPr>
                <w:noProof/>
              </w:rPr>
              <w:fldChar w:fldCharType="separate"/>
            </w:r>
            <w:r w:rsidR="006F0CBC">
              <w:rPr>
                <w:noProof/>
              </w:rPr>
              <w:t>49</w:t>
            </w:r>
            <w:r w:rsidR="006574B4">
              <w:rPr>
                <w:noProof/>
              </w:rPr>
              <w:fldChar w:fldCharType="end"/>
            </w:r>
          </w:hyperlink>
        </w:p>
        <w:p w14:paraId="3AE59414" w14:textId="637F708D" w:rsidR="006574B4" w:rsidRDefault="00D372C4">
          <w:pPr>
            <w:pStyle w:val="Sommario2"/>
            <w:rPr>
              <w:rFonts w:asciiTheme="minorHAnsi" w:eastAsiaTheme="minorEastAsia" w:hAnsiTheme="minorHAnsi" w:cstheme="minorBidi"/>
              <w:smallCaps w:val="0"/>
              <w:noProof/>
              <w:sz w:val="22"/>
              <w:szCs w:val="22"/>
              <w:lang w:eastAsia="it-IT"/>
            </w:rPr>
          </w:pPr>
          <w:hyperlink w:anchor="_Toc95495925" w:history="1">
            <w:r w:rsidR="006574B4" w:rsidRPr="001535DD">
              <w:rPr>
                <w:rStyle w:val="Collegamentoipertestuale"/>
                <w:rFonts w:ascii="Titillium" w:hAnsi="Titillium"/>
                <w:noProof/>
              </w:rPr>
              <w:t>28.</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DEFINIZIONE DELLE CONTROVERSIE</w:t>
            </w:r>
            <w:r w:rsidR="006574B4">
              <w:rPr>
                <w:noProof/>
              </w:rPr>
              <w:tab/>
            </w:r>
            <w:r w:rsidR="006574B4">
              <w:rPr>
                <w:noProof/>
              </w:rPr>
              <w:fldChar w:fldCharType="begin"/>
            </w:r>
            <w:r w:rsidR="006574B4">
              <w:rPr>
                <w:noProof/>
              </w:rPr>
              <w:instrText xml:space="preserve"> PAGEREF _Toc95495925 \h </w:instrText>
            </w:r>
            <w:r w:rsidR="006574B4">
              <w:rPr>
                <w:noProof/>
              </w:rPr>
            </w:r>
            <w:r w:rsidR="006574B4">
              <w:rPr>
                <w:noProof/>
              </w:rPr>
              <w:fldChar w:fldCharType="separate"/>
            </w:r>
            <w:r w:rsidR="006F0CBC">
              <w:rPr>
                <w:noProof/>
              </w:rPr>
              <w:t>49</w:t>
            </w:r>
            <w:r w:rsidR="006574B4">
              <w:rPr>
                <w:noProof/>
              </w:rPr>
              <w:fldChar w:fldCharType="end"/>
            </w:r>
          </w:hyperlink>
        </w:p>
        <w:p w14:paraId="146E9311" w14:textId="480643DC" w:rsidR="006574B4" w:rsidRDefault="00D372C4">
          <w:pPr>
            <w:pStyle w:val="Sommario2"/>
            <w:rPr>
              <w:rFonts w:asciiTheme="minorHAnsi" w:eastAsiaTheme="minorEastAsia" w:hAnsiTheme="minorHAnsi" w:cstheme="minorBidi"/>
              <w:smallCaps w:val="0"/>
              <w:noProof/>
              <w:sz w:val="22"/>
              <w:szCs w:val="22"/>
              <w:lang w:eastAsia="it-IT"/>
            </w:rPr>
          </w:pPr>
          <w:hyperlink w:anchor="_Toc95495926" w:history="1">
            <w:r w:rsidR="006574B4" w:rsidRPr="001535DD">
              <w:rPr>
                <w:rStyle w:val="Collegamentoipertestuale"/>
                <w:rFonts w:ascii="Titillium" w:hAnsi="Titillium"/>
                <w:noProof/>
              </w:rPr>
              <w:t>29.</w:t>
            </w:r>
            <w:r w:rsidR="006574B4">
              <w:rPr>
                <w:rFonts w:asciiTheme="minorHAnsi" w:eastAsiaTheme="minorEastAsia" w:hAnsiTheme="minorHAnsi" w:cstheme="minorBidi"/>
                <w:smallCaps w:val="0"/>
                <w:noProof/>
                <w:sz w:val="22"/>
                <w:szCs w:val="22"/>
                <w:lang w:eastAsia="it-IT"/>
              </w:rPr>
              <w:tab/>
            </w:r>
            <w:r w:rsidR="006574B4" w:rsidRPr="001535DD">
              <w:rPr>
                <w:rStyle w:val="Collegamentoipertestuale"/>
                <w:rFonts w:ascii="Titillium" w:hAnsi="Titillium"/>
                <w:noProof/>
              </w:rPr>
              <w:t>TRATTAMENTO DEI DATI PERSONALI</w:t>
            </w:r>
            <w:r w:rsidR="006574B4">
              <w:rPr>
                <w:noProof/>
              </w:rPr>
              <w:tab/>
            </w:r>
            <w:r w:rsidR="006574B4">
              <w:rPr>
                <w:noProof/>
              </w:rPr>
              <w:fldChar w:fldCharType="begin"/>
            </w:r>
            <w:r w:rsidR="006574B4">
              <w:rPr>
                <w:noProof/>
              </w:rPr>
              <w:instrText xml:space="preserve"> PAGEREF _Toc95495926 \h </w:instrText>
            </w:r>
            <w:r w:rsidR="006574B4">
              <w:rPr>
                <w:noProof/>
              </w:rPr>
            </w:r>
            <w:r w:rsidR="006574B4">
              <w:rPr>
                <w:noProof/>
              </w:rPr>
              <w:fldChar w:fldCharType="separate"/>
            </w:r>
            <w:r w:rsidR="006F0CBC">
              <w:rPr>
                <w:noProof/>
              </w:rPr>
              <w:t>49</w:t>
            </w:r>
            <w:r w:rsidR="006574B4">
              <w:rPr>
                <w:noProof/>
              </w:rPr>
              <w:fldChar w:fldCharType="end"/>
            </w:r>
          </w:hyperlink>
        </w:p>
        <w:p w14:paraId="146A3934" w14:textId="0C6A9399" w:rsidR="004C53A8" w:rsidRDefault="00870286">
          <w:pPr>
            <w:pStyle w:val="Sommario2"/>
            <w:rPr>
              <w:rFonts w:asciiTheme="minorHAnsi" w:eastAsiaTheme="minorEastAsia" w:hAnsiTheme="minorHAnsi" w:cstheme="minorBidi"/>
              <w:smallCaps w:val="0"/>
              <w:sz w:val="22"/>
              <w:szCs w:val="22"/>
              <w:lang w:eastAsia="it-IT"/>
            </w:rPr>
          </w:pPr>
          <w:r>
            <w:rPr>
              <w:rStyle w:val="Saltoaindice"/>
            </w:rPr>
            <w:fldChar w:fldCharType="end"/>
          </w:r>
        </w:p>
      </w:sdtContent>
    </w:sdt>
    <w:p w14:paraId="4A21364A" w14:textId="77777777" w:rsidR="004C53A8" w:rsidRPr="009560B2" w:rsidRDefault="004C53A8" w:rsidP="009560B2">
      <w:pPr>
        <w:pStyle w:val="Sommario1"/>
      </w:pPr>
    </w:p>
    <w:p w14:paraId="772C89C6" w14:textId="77777777" w:rsidR="004C53A8" w:rsidRPr="0083544E" w:rsidRDefault="004C53A8">
      <w:pPr>
        <w:pStyle w:val="Sommario2"/>
        <w:rPr>
          <w:lang w:eastAsia="it-IT"/>
        </w:rPr>
      </w:pPr>
    </w:p>
    <w:p w14:paraId="02AE696B" w14:textId="77777777" w:rsidR="004C53A8" w:rsidRPr="0083544E" w:rsidRDefault="004C53A8">
      <w:pPr>
        <w:pStyle w:val="Sommario2"/>
        <w:rPr>
          <w:lang w:eastAsia="it-IT"/>
        </w:rPr>
      </w:pPr>
    </w:p>
    <w:p w14:paraId="780EE457" w14:textId="77777777" w:rsidR="004C53A8" w:rsidRPr="0083544E" w:rsidRDefault="004C53A8">
      <w:pPr>
        <w:pStyle w:val="Sommario2"/>
        <w:rPr>
          <w:lang w:eastAsia="it-IT"/>
        </w:rPr>
      </w:pPr>
    </w:p>
    <w:p w14:paraId="6E5ADFD5" w14:textId="77777777" w:rsidR="004C53A8" w:rsidRPr="0083544E" w:rsidRDefault="004C53A8">
      <w:pPr>
        <w:pStyle w:val="Sommario2"/>
        <w:rPr>
          <w:lang w:eastAsia="it-IT"/>
        </w:rPr>
      </w:pPr>
    </w:p>
    <w:p w14:paraId="2F49D375" w14:textId="77777777" w:rsidR="004C53A8" w:rsidRPr="0083544E" w:rsidRDefault="004C53A8">
      <w:pPr>
        <w:pStyle w:val="Sommario2"/>
        <w:rPr>
          <w:lang w:eastAsia="it-IT"/>
        </w:rPr>
      </w:pPr>
    </w:p>
    <w:p w14:paraId="3E420AB1" w14:textId="77777777" w:rsidR="004C53A8" w:rsidRDefault="00870286">
      <w:pPr>
        <w:widowControl w:val="0"/>
        <w:spacing w:before="60" w:after="60"/>
        <w:rPr>
          <w:rFonts w:ascii="Titillium" w:hAnsi="Titillium" w:cs="Calibri"/>
          <w:szCs w:val="24"/>
          <w:lang w:eastAsia="it-IT"/>
        </w:rPr>
      </w:pPr>
      <w:r>
        <w:br w:type="page"/>
      </w:r>
    </w:p>
    <w:p w14:paraId="06A10451" w14:textId="77777777" w:rsidR="004C53A8" w:rsidRDefault="00870286">
      <w:pPr>
        <w:pStyle w:val="Titolo1"/>
        <w:spacing w:before="100" w:after="100"/>
      </w:pPr>
      <w:bookmarkStart w:id="1" w:name="_Toc492630594"/>
      <w:bookmarkStart w:id="2" w:name="_Toc95495870"/>
      <w:r>
        <w:rPr>
          <w:rFonts w:ascii="Titillium" w:hAnsi="Titillium"/>
          <w:sz w:val="18"/>
          <w:szCs w:val="18"/>
          <w:lang w:val="it-IT"/>
        </w:rPr>
        <w:lastRenderedPageBreak/>
        <w:t xml:space="preserve">AMBITO DI APPLICAZIONE E </w:t>
      </w:r>
      <w:r>
        <w:rPr>
          <w:rFonts w:ascii="Titillium" w:hAnsi="Titillium"/>
          <w:sz w:val="18"/>
          <w:szCs w:val="18"/>
        </w:rPr>
        <w:t>ISTRUZIONI PER LA COMPILAZIONE</w:t>
      </w:r>
      <w:bookmarkEnd w:id="1"/>
      <w:bookmarkEnd w:id="2"/>
      <w:r>
        <w:rPr>
          <w:rFonts w:ascii="Titillium" w:hAnsi="Titillium"/>
          <w:sz w:val="18"/>
          <w:szCs w:val="18"/>
        </w:rPr>
        <w:t xml:space="preserve"> </w:t>
      </w:r>
    </w:p>
    <w:p w14:paraId="6A2F4CFF" w14:textId="3530A09F"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Il presente Disciplinare tipo si applica a</w:t>
      </w:r>
      <w:r w:rsidR="006F5DBA">
        <w:rPr>
          <w:rFonts w:ascii="Titillium" w:hAnsi="Titillium" w:cs="Calibri"/>
          <w:sz w:val="18"/>
          <w:szCs w:val="18"/>
          <w:lang w:eastAsia="it-IT"/>
        </w:rPr>
        <w:t xml:space="preserve">lle </w:t>
      </w:r>
      <w:r>
        <w:rPr>
          <w:rFonts w:ascii="Titillium" w:hAnsi="Titillium" w:cs="Calibri"/>
          <w:sz w:val="18"/>
          <w:szCs w:val="18"/>
          <w:lang w:eastAsia="it-IT"/>
        </w:rPr>
        <w:t>procedure aperte</w:t>
      </w:r>
      <w:r w:rsidR="008816E2">
        <w:rPr>
          <w:rFonts w:ascii="Titillium" w:hAnsi="Titillium" w:cs="Calibri"/>
          <w:sz w:val="18"/>
          <w:szCs w:val="18"/>
          <w:lang w:eastAsia="it-IT"/>
        </w:rPr>
        <w:t>,</w:t>
      </w:r>
      <w:r>
        <w:rPr>
          <w:rFonts w:ascii="Titillium" w:hAnsi="Titillium" w:cs="Calibri"/>
          <w:sz w:val="18"/>
          <w:szCs w:val="18"/>
          <w:lang w:eastAsia="it-IT"/>
        </w:rPr>
        <w:t xml:space="preserve"> </w:t>
      </w:r>
      <w:r w:rsidR="006F5DBA">
        <w:rPr>
          <w:rFonts w:ascii="Titillium" w:hAnsi="Titillium" w:cs="Calibri"/>
          <w:sz w:val="18"/>
          <w:szCs w:val="18"/>
          <w:lang w:eastAsia="it-IT"/>
        </w:rPr>
        <w:t>svolte con strumenti telematici</w:t>
      </w:r>
      <w:r w:rsidR="008816E2">
        <w:rPr>
          <w:rFonts w:ascii="Titillium" w:hAnsi="Titillium" w:cs="Calibri"/>
          <w:sz w:val="18"/>
          <w:szCs w:val="18"/>
          <w:lang w:eastAsia="it-IT"/>
        </w:rPr>
        <w:t xml:space="preserve">, </w:t>
      </w:r>
      <w:r w:rsidR="006F5DBA">
        <w:rPr>
          <w:rFonts w:ascii="Titillium" w:hAnsi="Titillium" w:cs="Calibri"/>
          <w:sz w:val="18"/>
          <w:szCs w:val="18"/>
          <w:lang w:eastAsia="it-IT"/>
        </w:rPr>
        <w:t xml:space="preserve">aventi ad </w:t>
      </w:r>
      <w:r w:rsidR="00E11EBF">
        <w:rPr>
          <w:rFonts w:ascii="Titillium" w:hAnsi="Titillium" w:cs="Calibri"/>
          <w:sz w:val="18"/>
          <w:szCs w:val="18"/>
          <w:lang w:eastAsia="it-IT"/>
        </w:rPr>
        <w:t>oggetto l’affidamento</w:t>
      </w:r>
      <w:r>
        <w:rPr>
          <w:rFonts w:ascii="Titillium" w:hAnsi="Titillium" w:cs="Calibri"/>
          <w:sz w:val="18"/>
          <w:szCs w:val="18"/>
          <w:lang w:eastAsia="it-IT"/>
        </w:rPr>
        <w:t xml:space="preserve"> di contratti pubblici di servizi e forniture nei settori ordinari di importo pari o superiore alla soglia comunitaria, con il criterio dell’offerta economicamente più vantaggiosa sulla base del miglior rapporto qualità/prezzo.</w:t>
      </w:r>
    </w:p>
    <w:p w14:paraId="33A9CDF8" w14:textId="77777777" w:rsidR="004C53A8" w:rsidRDefault="00870286">
      <w:pPr>
        <w:widowControl w:val="0"/>
      </w:pPr>
      <w:r>
        <w:rPr>
          <w:rFonts w:ascii="Titillium" w:hAnsi="Titillium" w:cs="Calibri"/>
          <w:sz w:val="18"/>
          <w:szCs w:val="18"/>
          <w:lang w:eastAsia="it-IT"/>
        </w:rPr>
        <w:t xml:space="preserve">Le parti del presente Disciplinare tipo, indicate con carattere normale, rappresentano l’ipotesi base di formulazione, vincolanti nel senso indicato nella Nota illustrativa. </w:t>
      </w:r>
      <w:r>
        <w:rPr>
          <w:rFonts w:ascii="Titillium" w:hAnsi="Titillium" w:cs="Calibri"/>
          <w:sz w:val="18"/>
          <w:szCs w:val="18"/>
        </w:rPr>
        <w:t>In tale modello base sono evidenziate le parti variabili o opzionali, mediante il ricorso a corsivo o parentesi quadre, come di seguito specificato. Per un corretto utilizzo del modello, si raccomanda un’attenta lettura della Nota illustrativa.</w:t>
      </w:r>
    </w:p>
    <w:p w14:paraId="144F7C30" w14:textId="3E70ABAF" w:rsidR="004C53A8" w:rsidRDefault="00870286">
      <w:pPr>
        <w:widowControl w:val="0"/>
        <w:spacing w:before="60" w:after="60"/>
        <w:rPr>
          <w:rFonts w:ascii="Titillium" w:hAnsi="Titillium" w:cs="Calibri"/>
          <w:sz w:val="18"/>
          <w:szCs w:val="18"/>
          <w:lang w:eastAsia="it-IT"/>
        </w:rPr>
      </w:pPr>
      <w:r w:rsidRPr="00352F6C">
        <w:rPr>
          <w:rFonts w:ascii="Titillium" w:hAnsi="Titillium" w:cs="Calibri"/>
          <w:sz w:val="18"/>
          <w:szCs w:val="18"/>
          <w:lang w:eastAsia="it-IT"/>
        </w:rPr>
        <w:t xml:space="preserve">Il presente schema di </w:t>
      </w:r>
      <w:r w:rsidR="003C0646">
        <w:rPr>
          <w:rFonts w:ascii="Titillium" w:hAnsi="Titillium" w:cs="Calibri"/>
          <w:sz w:val="18"/>
          <w:szCs w:val="18"/>
          <w:lang w:eastAsia="it-IT"/>
        </w:rPr>
        <w:t>Bando tipo</w:t>
      </w:r>
      <w:r w:rsidRPr="00352F6C">
        <w:rPr>
          <w:rFonts w:ascii="Titillium" w:hAnsi="Titillium" w:cs="Calibri"/>
          <w:sz w:val="18"/>
          <w:szCs w:val="18"/>
          <w:lang w:eastAsia="it-IT"/>
        </w:rPr>
        <w:t xml:space="preserve"> </w:t>
      </w:r>
      <w:r w:rsidR="002E6022">
        <w:rPr>
          <w:rFonts w:ascii="Titillium" w:hAnsi="Titillium" w:cs="Calibri"/>
          <w:sz w:val="18"/>
          <w:szCs w:val="18"/>
          <w:lang w:eastAsia="it-IT"/>
        </w:rPr>
        <w:t xml:space="preserve">recepisce </w:t>
      </w:r>
      <w:r w:rsidRPr="00352F6C">
        <w:rPr>
          <w:rFonts w:ascii="Titillium" w:hAnsi="Titillium" w:cs="Calibri"/>
          <w:sz w:val="18"/>
          <w:szCs w:val="18"/>
          <w:lang w:eastAsia="it-IT"/>
        </w:rPr>
        <w:t>la normativa vigente e</w:t>
      </w:r>
      <w:r w:rsidR="006605E1">
        <w:rPr>
          <w:rFonts w:ascii="Titillium" w:hAnsi="Titillium" w:cs="Calibri"/>
          <w:sz w:val="18"/>
          <w:szCs w:val="18"/>
          <w:lang w:eastAsia="it-IT"/>
        </w:rPr>
        <w:t>,</w:t>
      </w:r>
      <w:r w:rsidRPr="00352F6C">
        <w:rPr>
          <w:rFonts w:ascii="Titillium" w:hAnsi="Titillium" w:cs="Calibri"/>
          <w:sz w:val="18"/>
          <w:szCs w:val="18"/>
          <w:lang w:eastAsia="it-IT"/>
        </w:rPr>
        <w:t xml:space="preserve"> </w:t>
      </w:r>
      <w:r w:rsidR="007F250F" w:rsidRPr="00352F6C">
        <w:rPr>
          <w:rFonts w:ascii="Titillium" w:hAnsi="Titillium" w:cs="Calibri"/>
          <w:sz w:val="18"/>
          <w:szCs w:val="18"/>
          <w:lang w:eastAsia="it-IT"/>
        </w:rPr>
        <w:t>in particolare</w:t>
      </w:r>
      <w:r w:rsidR="006605E1">
        <w:rPr>
          <w:rFonts w:ascii="Titillium" w:hAnsi="Titillium" w:cs="Calibri"/>
          <w:sz w:val="18"/>
          <w:szCs w:val="18"/>
          <w:lang w:eastAsia="it-IT"/>
        </w:rPr>
        <w:t>,</w:t>
      </w:r>
      <w:r w:rsidR="007F250F" w:rsidRPr="00352F6C">
        <w:rPr>
          <w:rFonts w:ascii="Titillium" w:hAnsi="Titillium" w:cs="Calibri"/>
          <w:sz w:val="18"/>
          <w:szCs w:val="18"/>
          <w:lang w:eastAsia="it-IT"/>
        </w:rPr>
        <w:t xml:space="preserve"> </w:t>
      </w:r>
      <w:r w:rsidR="00F73B02">
        <w:rPr>
          <w:rFonts w:ascii="Titillium" w:hAnsi="Titillium" w:cs="Calibri"/>
          <w:sz w:val="18"/>
          <w:szCs w:val="18"/>
          <w:lang w:eastAsia="it-IT"/>
        </w:rPr>
        <w:t>-</w:t>
      </w:r>
      <w:r w:rsidR="00F73B02" w:rsidRPr="00352F6C">
        <w:rPr>
          <w:rFonts w:ascii="Titillium" w:hAnsi="Titillium" w:cs="Calibri"/>
          <w:sz w:val="18"/>
          <w:szCs w:val="18"/>
          <w:lang w:eastAsia="it-IT"/>
        </w:rPr>
        <w:t xml:space="preserve">le </w:t>
      </w:r>
      <w:r w:rsidR="007F250F" w:rsidRPr="00352F6C">
        <w:rPr>
          <w:rFonts w:ascii="Titillium" w:hAnsi="Titillium" w:cs="Calibri"/>
          <w:sz w:val="18"/>
          <w:szCs w:val="18"/>
          <w:lang w:eastAsia="it-IT"/>
        </w:rPr>
        <w:t xml:space="preserve">novità </w:t>
      </w:r>
      <w:r w:rsidR="002E6022">
        <w:rPr>
          <w:rFonts w:ascii="Titillium" w:hAnsi="Titillium" w:cs="Calibri"/>
          <w:sz w:val="18"/>
          <w:szCs w:val="18"/>
          <w:lang w:eastAsia="it-IT"/>
        </w:rPr>
        <w:t xml:space="preserve">e </w:t>
      </w:r>
      <w:r w:rsidR="00F73B02">
        <w:rPr>
          <w:rFonts w:ascii="Titillium" w:hAnsi="Titillium" w:cs="Calibri"/>
          <w:sz w:val="18"/>
          <w:szCs w:val="18"/>
          <w:lang w:eastAsia="it-IT"/>
        </w:rPr>
        <w:t xml:space="preserve">le </w:t>
      </w:r>
      <w:r w:rsidR="002E6022">
        <w:rPr>
          <w:rFonts w:ascii="Titillium" w:hAnsi="Titillium" w:cs="Calibri"/>
          <w:sz w:val="18"/>
          <w:szCs w:val="18"/>
          <w:lang w:eastAsia="it-IT"/>
        </w:rPr>
        <w:t xml:space="preserve">modifiche al </w:t>
      </w:r>
      <w:r w:rsidR="002E6022" w:rsidRPr="00301477">
        <w:rPr>
          <w:rFonts w:ascii="Titillium" w:hAnsi="Titillium" w:cs="Calibri"/>
          <w:bCs/>
          <w:iCs/>
          <w:sz w:val="18"/>
          <w:szCs w:val="18"/>
        </w:rPr>
        <w:t xml:space="preserve">decreto legislativo </w:t>
      </w:r>
      <w:r w:rsidR="002E6022">
        <w:rPr>
          <w:rFonts w:ascii="Titillium" w:hAnsi="Titillium" w:cs="Calibri"/>
          <w:bCs/>
          <w:iCs/>
          <w:sz w:val="18"/>
          <w:szCs w:val="18"/>
        </w:rPr>
        <w:t xml:space="preserve">n. 50/2016 (di seguito Codice) </w:t>
      </w:r>
      <w:r w:rsidR="007F250F" w:rsidRPr="00352F6C">
        <w:rPr>
          <w:rFonts w:ascii="Titillium" w:hAnsi="Titillium" w:cs="Calibri"/>
          <w:sz w:val="18"/>
          <w:szCs w:val="18"/>
          <w:lang w:eastAsia="it-IT"/>
        </w:rPr>
        <w:t xml:space="preserve">introdotte </w:t>
      </w:r>
      <w:r w:rsidR="002E6022" w:rsidRPr="00352F6C">
        <w:rPr>
          <w:rFonts w:ascii="Titillium" w:hAnsi="Titillium" w:cs="Calibri"/>
          <w:sz w:val="18"/>
          <w:szCs w:val="18"/>
          <w:lang w:eastAsia="it-IT"/>
        </w:rPr>
        <w:t xml:space="preserve">dal decreto legge </w:t>
      </w:r>
      <w:r w:rsidR="002E6022">
        <w:rPr>
          <w:rFonts w:ascii="Titillium" w:hAnsi="Titillium" w:cs="Calibri"/>
          <w:sz w:val="18"/>
          <w:szCs w:val="18"/>
          <w:lang w:eastAsia="it-IT"/>
        </w:rPr>
        <w:t>18 aprile 2019 n. 32, convertito in legge</w:t>
      </w:r>
      <w:r w:rsidR="002E6022" w:rsidRPr="002E6022">
        <w:rPr>
          <w:rFonts w:ascii="Titillium" w:hAnsi="Titillium" w:cs="Calibri"/>
          <w:sz w:val="18"/>
          <w:szCs w:val="18"/>
          <w:lang w:eastAsia="it-IT"/>
        </w:rPr>
        <w:t>. 14 giugno 2019, n. 55</w:t>
      </w:r>
      <w:r w:rsidR="002E6022">
        <w:rPr>
          <w:rFonts w:ascii="Titillium" w:hAnsi="Titillium" w:cs="Calibri"/>
          <w:sz w:val="18"/>
          <w:szCs w:val="18"/>
          <w:lang w:eastAsia="it-IT"/>
        </w:rPr>
        <w:t>,</w:t>
      </w:r>
      <w:r w:rsidR="002E6022" w:rsidRPr="002E6022">
        <w:rPr>
          <w:rFonts w:ascii="Titillium" w:hAnsi="Titillium" w:cs="Calibri"/>
          <w:sz w:val="18"/>
          <w:szCs w:val="18"/>
          <w:lang w:eastAsia="it-IT"/>
        </w:rPr>
        <w:t xml:space="preserve"> </w:t>
      </w:r>
      <w:r w:rsidR="007F250F" w:rsidRPr="00352F6C">
        <w:rPr>
          <w:rFonts w:ascii="Titillium" w:hAnsi="Titillium" w:cs="Calibri"/>
          <w:sz w:val="18"/>
          <w:szCs w:val="18"/>
          <w:lang w:eastAsia="it-IT"/>
        </w:rPr>
        <w:t>dal decreto legge 16 luglio 2020 n.</w:t>
      </w:r>
      <w:r w:rsidR="00CE0E39" w:rsidRPr="00352F6C">
        <w:rPr>
          <w:rFonts w:ascii="Titillium" w:hAnsi="Titillium" w:cs="Calibri"/>
          <w:sz w:val="18"/>
          <w:szCs w:val="18"/>
          <w:lang w:eastAsia="it-IT"/>
        </w:rPr>
        <w:t xml:space="preserve"> </w:t>
      </w:r>
      <w:r w:rsidR="003C0646">
        <w:rPr>
          <w:rFonts w:ascii="Titillium" w:hAnsi="Titillium" w:cs="Calibri"/>
          <w:sz w:val="18"/>
          <w:szCs w:val="18"/>
          <w:lang w:eastAsia="it-IT"/>
        </w:rPr>
        <w:t>76,</w:t>
      </w:r>
      <w:r w:rsidR="007F250F" w:rsidRPr="00352F6C">
        <w:rPr>
          <w:rFonts w:ascii="Titillium" w:hAnsi="Titillium" w:cs="Calibri"/>
          <w:sz w:val="18"/>
          <w:szCs w:val="18"/>
          <w:lang w:eastAsia="it-IT"/>
        </w:rPr>
        <w:t xml:space="preserve"> convertito in legge 11 settembre 2020</w:t>
      </w:r>
      <w:r w:rsidR="003C0646">
        <w:rPr>
          <w:rFonts w:ascii="Titillium" w:hAnsi="Titillium" w:cs="Calibri"/>
          <w:sz w:val="18"/>
          <w:szCs w:val="18"/>
          <w:lang w:eastAsia="it-IT"/>
        </w:rPr>
        <w:t xml:space="preserve"> n. </w:t>
      </w:r>
      <w:r w:rsidR="00E11EBF">
        <w:rPr>
          <w:rFonts w:ascii="Titillium" w:hAnsi="Titillium" w:cs="Calibri"/>
          <w:sz w:val="18"/>
          <w:szCs w:val="18"/>
          <w:lang w:eastAsia="it-IT"/>
        </w:rPr>
        <w:t>120,</w:t>
      </w:r>
      <w:r w:rsidR="00E11EBF" w:rsidRPr="00352F6C">
        <w:rPr>
          <w:rFonts w:ascii="Titillium" w:hAnsi="Titillium" w:cs="Calibri"/>
          <w:sz w:val="18"/>
          <w:szCs w:val="18"/>
          <w:lang w:eastAsia="it-IT"/>
        </w:rPr>
        <w:t xml:space="preserve"> dal</w:t>
      </w:r>
      <w:r w:rsidR="007F250F" w:rsidRPr="00352F6C">
        <w:rPr>
          <w:rFonts w:ascii="Titillium" w:hAnsi="Titillium" w:cs="Calibri"/>
          <w:sz w:val="18"/>
          <w:szCs w:val="18"/>
          <w:lang w:eastAsia="it-IT"/>
        </w:rPr>
        <w:t xml:space="preserve"> decreto legge 31 maggio 2021 n. 77, convertito in legge </w:t>
      </w:r>
      <w:r w:rsidR="00CE0E39" w:rsidRPr="00352F6C">
        <w:rPr>
          <w:rFonts w:ascii="Titillium" w:hAnsi="Titillium" w:cs="Calibri"/>
          <w:sz w:val="18"/>
          <w:szCs w:val="18"/>
          <w:lang w:eastAsia="it-IT"/>
        </w:rPr>
        <w:t>29 luglio 2021 n. 108</w:t>
      </w:r>
      <w:r w:rsidR="00F73B02">
        <w:rPr>
          <w:rFonts w:ascii="Titillium" w:hAnsi="Titillium" w:cs="Calibri"/>
          <w:sz w:val="18"/>
          <w:szCs w:val="18"/>
          <w:lang w:eastAsia="it-IT"/>
        </w:rPr>
        <w:t xml:space="preserve"> e dalle altre disposizioni normative intervenute, nonché il </w:t>
      </w:r>
      <w:r w:rsidR="000C113D">
        <w:rPr>
          <w:rFonts w:ascii="Titillium" w:hAnsi="Titillium" w:cs="Calibri"/>
          <w:sz w:val="18"/>
          <w:szCs w:val="18"/>
          <w:lang w:eastAsia="it-IT"/>
        </w:rPr>
        <w:t xml:space="preserve">decreto </w:t>
      </w:r>
      <w:r w:rsidR="00CA5865">
        <w:rPr>
          <w:rFonts w:ascii="Titillium" w:hAnsi="Titillium" w:cs="Calibri"/>
          <w:sz w:val="18"/>
          <w:szCs w:val="18"/>
          <w:lang w:eastAsia="it-IT"/>
        </w:rPr>
        <w:t xml:space="preserve">della Presidenza del Consiglio dei Ministri del </w:t>
      </w:r>
      <w:r w:rsidR="000C113D">
        <w:rPr>
          <w:rFonts w:ascii="Titillium" w:hAnsi="Titillium" w:cs="Calibri"/>
          <w:sz w:val="18"/>
          <w:szCs w:val="18"/>
          <w:lang w:eastAsia="it-IT"/>
        </w:rPr>
        <w:t>12 agosto 2021 n. 148</w:t>
      </w:r>
      <w:r w:rsidR="00352F6C">
        <w:rPr>
          <w:rFonts w:ascii="Titillium" w:hAnsi="Titillium" w:cs="Calibri"/>
          <w:sz w:val="18"/>
          <w:szCs w:val="18"/>
          <w:lang w:eastAsia="it-IT"/>
        </w:rPr>
        <w:t>.</w:t>
      </w:r>
    </w:p>
    <w:p w14:paraId="485BEFCA" w14:textId="74427DE2" w:rsidR="004C53A8" w:rsidRPr="00352F6C" w:rsidRDefault="00870286">
      <w:pPr>
        <w:widowControl w:val="0"/>
        <w:spacing w:before="60" w:after="60"/>
      </w:pPr>
      <w:r w:rsidRPr="00352F6C">
        <w:rPr>
          <w:rFonts w:ascii="Titillium" w:hAnsi="Titillium" w:cs="Calibri"/>
          <w:sz w:val="18"/>
          <w:szCs w:val="18"/>
          <w:lang w:eastAsia="it-IT"/>
        </w:rPr>
        <w:t xml:space="preserve">Il </w:t>
      </w:r>
      <w:r w:rsidR="003C0646">
        <w:rPr>
          <w:rFonts w:ascii="Titillium" w:hAnsi="Titillium" w:cs="Calibri"/>
          <w:sz w:val="18"/>
          <w:szCs w:val="18"/>
          <w:lang w:eastAsia="it-IT"/>
        </w:rPr>
        <w:t>Bando tipo</w:t>
      </w:r>
      <w:r w:rsidRPr="00352F6C">
        <w:rPr>
          <w:rFonts w:ascii="Titillium" w:hAnsi="Titillium" w:cs="Calibri"/>
          <w:sz w:val="18"/>
          <w:szCs w:val="18"/>
          <w:lang w:eastAsia="it-IT"/>
        </w:rPr>
        <w:t xml:space="preserve"> acquista </w:t>
      </w:r>
      <w:r w:rsidRPr="00214C08">
        <w:rPr>
          <w:rFonts w:ascii="Titillium" w:hAnsi="Titillium" w:cs="Calibri"/>
          <w:sz w:val="18"/>
          <w:szCs w:val="18"/>
          <w:lang w:eastAsia="it-IT"/>
        </w:rPr>
        <w:t>efficacia il quindicesimo</w:t>
      </w:r>
      <w:r w:rsidRPr="00352F6C">
        <w:rPr>
          <w:rFonts w:ascii="Titillium" w:hAnsi="Titillium" w:cs="Calibri"/>
          <w:sz w:val="18"/>
          <w:szCs w:val="18"/>
          <w:lang w:eastAsia="it-IT"/>
        </w:rPr>
        <w:t xml:space="preserve"> giorno successivo alla pubblicazione nella Gazzetta Ufficiale della Repubblica Italiana, ai sensi dell’articolo 213 comma 17</w:t>
      </w:r>
      <w:r w:rsidRPr="00352F6C">
        <w:rPr>
          <w:rFonts w:ascii="Titillium" w:hAnsi="Titillium" w:cs="Calibri"/>
          <w:i/>
          <w:sz w:val="18"/>
          <w:szCs w:val="18"/>
          <w:lang w:eastAsia="it-IT"/>
        </w:rPr>
        <w:t>-bis</w:t>
      </w:r>
      <w:r w:rsidRPr="00352F6C">
        <w:rPr>
          <w:rFonts w:ascii="Titillium" w:hAnsi="Titillium" w:cs="Calibri"/>
          <w:sz w:val="18"/>
          <w:szCs w:val="18"/>
          <w:lang w:eastAsia="it-IT"/>
        </w:rPr>
        <w:t xml:space="preserve"> del Codice.</w:t>
      </w:r>
    </w:p>
    <w:p w14:paraId="0A0AF4A0" w14:textId="77777777" w:rsidR="004C53A8" w:rsidRDefault="004C53A8">
      <w:pPr>
        <w:widowControl w:val="0"/>
        <w:spacing w:before="60" w:after="60"/>
        <w:rPr>
          <w:rFonts w:ascii="Titillium" w:hAnsi="Titillium" w:cs="Calibri"/>
          <w:szCs w:val="24"/>
          <w:lang w:eastAsia="it-IT"/>
        </w:rPr>
      </w:pPr>
    </w:p>
    <w:p w14:paraId="6157423D" w14:textId="77777777" w:rsidR="004C53A8" w:rsidRDefault="00870286">
      <w:pPr>
        <w:widowControl w:val="0"/>
        <w:spacing w:before="60" w:after="60"/>
      </w:pPr>
      <w:bookmarkStart w:id="3" w:name="_Toc406058360"/>
      <w:bookmarkStart w:id="4" w:name="_Toc403471254"/>
      <w:bookmarkStart w:id="5" w:name="_Toc397422847"/>
      <w:bookmarkStart w:id="6" w:name="_Toc397346806"/>
      <w:bookmarkStart w:id="7" w:name="_Toc393706891"/>
      <w:bookmarkStart w:id="8" w:name="_Toc393700818"/>
      <w:bookmarkStart w:id="9" w:name="_Toc393283159"/>
      <w:bookmarkStart w:id="10" w:name="_Toc393272643"/>
      <w:bookmarkStart w:id="11" w:name="_Toc393272585"/>
      <w:bookmarkStart w:id="12" w:name="_Toc393187829"/>
      <w:bookmarkStart w:id="13" w:name="_Toc393112110"/>
      <w:bookmarkStart w:id="14" w:name="_Toc393110546"/>
      <w:bookmarkStart w:id="15" w:name="_Toc392577479"/>
      <w:bookmarkStart w:id="16" w:name="_Toc391036039"/>
      <w:bookmarkStart w:id="17" w:name="_Toc391035966"/>
      <w:bookmarkStart w:id="18" w:name="_Toc380501854"/>
      <w:bookmarkStart w:id="19" w:name="_Toc416423343"/>
      <w:bookmarkStart w:id="20" w:name="_Toc406754160"/>
      <w:r>
        <w:rPr>
          <w:rFonts w:ascii="Titillium" w:hAnsi="Titillium" w:cs="Calibri"/>
          <w:b/>
          <w:smallCaps/>
          <w:sz w:val="18"/>
          <w:szCs w:val="18"/>
        </w:rPr>
        <w:t>informazioni da riportare in base alle esigenze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tillium" w:hAnsi="Titillium" w:cs="Calibri"/>
          <w:b/>
          <w:smallCaps/>
          <w:sz w:val="18"/>
          <w:szCs w:val="18"/>
        </w:rPr>
        <w:t xml:space="preserve"> della stazione appaltante</w:t>
      </w:r>
    </w:p>
    <w:p w14:paraId="6B950D20" w14:textId="77777777" w:rsidR="004C53A8" w:rsidRDefault="00870286">
      <w:pPr>
        <w:widowControl w:val="0"/>
        <w:spacing w:before="60" w:after="60"/>
      </w:pPr>
      <w:r>
        <w:rPr>
          <w:rFonts w:ascii="Titillium" w:hAnsi="Titillium" w:cs="Calibri"/>
          <w:sz w:val="18"/>
          <w:szCs w:val="18"/>
          <w:lang w:eastAsia="it-IT"/>
        </w:rPr>
        <w:t>Gli spazi lasciati liberi devono essere compilati dalla stazione appaltante in base alle caratteristiche specifiche dell’appalto</w:t>
      </w:r>
      <w:r>
        <w:rPr>
          <w:rFonts w:ascii="Titillium" w:hAnsi="Titillium" w:cs="Calibri"/>
          <w:sz w:val="18"/>
          <w:szCs w:val="18"/>
        </w:rPr>
        <w:t>. In tali parti, talvolta evidenziate tra parentesi quadre, sono contenuti esempi o è fornita una descrizione di come potrebbe essere riempito il relativo spazio da parte delle stazioni appaltanti.</w:t>
      </w:r>
    </w:p>
    <w:p w14:paraId="50258534"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4A73EA0A" w14:textId="77777777" w:rsidR="004C53A8" w:rsidRDefault="00870286">
      <w:pPr>
        <w:spacing w:before="120" w:after="60"/>
      </w:pPr>
      <w:r>
        <w:rPr>
          <w:rFonts w:ascii="Titillium" w:hAnsi="Titillium" w:cs="Calibri"/>
          <w:sz w:val="18"/>
          <w:szCs w:val="18"/>
        </w:rPr>
        <w:t xml:space="preserve">«La domanda di partecipazione è redatta, in bollo </w:t>
      </w:r>
      <w:r>
        <w:rPr>
          <w:rFonts w:ascii="Titillium" w:hAnsi="Titillium" w:cs="Calibri"/>
          <w:i/>
          <w:sz w:val="18"/>
          <w:szCs w:val="18"/>
        </w:rPr>
        <w:t>[ove la stazione appaltante abbia redatto un modello inserire la seguente frase:</w:t>
      </w:r>
      <w:r>
        <w:rPr>
          <w:rFonts w:ascii="Titillium" w:hAnsi="Titillium" w:cs="Calibri"/>
          <w:sz w:val="18"/>
          <w:szCs w:val="18"/>
        </w:rPr>
        <w:t xml:space="preserve"> </w:t>
      </w:r>
      <w:r>
        <w:rPr>
          <w:rFonts w:ascii="Titillium" w:hAnsi="Titillium" w:cs="Calibri"/>
          <w:i/>
          <w:sz w:val="18"/>
          <w:szCs w:val="18"/>
        </w:rPr>
        <w:t>“</w:t>
      </w:r>
      <w:r>
        <w:rPr>
          <w:rFonts w:ascii="Titillium" w:hAnsi="Titillium" w:cs="Calibri"/>
          <w:sz w:val="18"/>
          <w:szCs w:val="18"/>
        </w:rPr>
        <w:t>preferibilmente secondo il modello di cui all’allegato n. ...</w:t>
      </w:r>
      <w:r>
        <w:rPr>
          <w:rFonts w:ascii="Titillium" w:hAnsi="Titillium" w:cs="Calibri"/>
          <w:i/>
          <w:sz w:val="18"/>
          <w:szCs w:val="18"/>
        </w:rPr>
        <w:t>”]</w:t>
      </w:r>
      <w:r>
        <w:rPr>
          <w:rFonts w:ascii="Titillium" w:hAnsi="Titillium" w:cs="Calibri"/>
          <w:sz w:val="18"/>
          <w:szCs w:val="18"/>
        </w:rPr>
        <w:t xml:space="preserve"> e contiene tutte le seguenti informazioni e dichiarazioni …»</w:t>
      </w:r>
    </w:p>
    <w:p w14:paraId="5BE66CC7" w14:textId="77777777" w:rsidR="004C53A8" w:rsidRDefault="004C53A8">
      <w:pPr>
        <w:widowControl w:val="0"/>
        <w:tabs>
          <w:tab w:val="left" w:pos="2520"/>
        </w:tabs>
        <w:spacing w:before="60" w:after="60"/>
        <w:ind w:right="-1"/>
        <w:rPr>
          <w:rFonts w:ascii="Titillium" w:hAnsi="Titillium" w:cs="Calibri"/>
          <w:szCs w:val="24"/>
          <w:lang w:eastAsia="it-IT"/>
        </w:rPr>
      </w:pPr>
    </w:p>
    <w:p w14:paraId="31E804C1"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21" w:name="_Toc481159794"/>
      <w:bookmarkStart w:id="22" w:name="_Toc481159737"/>
      <w:bookmarkStart w:id="23" w:name="_Toc481159691"/>
      <w:bookmarkStart w:id="24" w:name="_Toc481159352"/>
      <w:bookmarkStart w:id="25" w:name="_Toc481158956"/>
      <w:bookmarkStart w:id="26" w:name="_Toc481159991"/>
      <w:bookmarkStart w:id="27" w:name="_Toc481159846"/>
      <w:bookmarkStart w:id="28" w:name="_Toc416423344"/>
      <w:bookmarkStart w:id="29" w:name="_Toc406754161"/>
      <w:bookmarkStart w:id="30" w:name="_Toc406058361"/>
      <w:bookmarkStart w:id="31" w:name="_Toc403471255"/>
      <w:bookmarkStart w:id="32" w:name="_Toc397422848"/>
      <w:bookmarkStart w:id="33" w:name="_Toc397346807"/>
      <w:bookmarkStart w:id="34" w:name="_Toc393706892"/>
      <w:bookmarkStart w:id="35" w:name="_Toc393700819"/>
      <w:bookmarkStart w:id="36" w:name="_Toc393283160"/>
      <w:bookmarkStart w:id="37" w:name="_Toc393272644"/>
      <w:bookmarkStart w:id="38" w:name="_Toc393272586"/>
      <w:bookmarkStart w:id="39" w:name="_Toc393187830"/>
      <w:bookmarkStart w:id="40" w:name="_Toc393112111"/>
      <w:bookmarkStart w:id="41" w:name="_Toc393110547"/>
      <w:bookmarkStart w:id="42" w:name="_Toc392577480"/>
      <w:bookmarkStart w:id="43" w:name="_Toc391036040"/>
      <w:bookmarkStart w:id="44" w:name="_Toc391035967"/>
      <w:bookmarkStart w:id="45" w:name="_Toc380501855"/>
      <w:bookmarkEnd w:id="21"/>
      <w:bookmarkEnd w:id="22"/>
      <w:bookmarkEnd w:id="23"/>
      <w:bookmarkEnd w:id="24"/>
      <w:bookmarkEnd w:id="25"/>
      <w:bookmarkEnd w:id="26"/>
      <w:bookmarkEnd w:id="27"/>
      <w:r>
        <w:rPr>
          <w:rFonts w:ascii="Titillium" w:hAnsi="Titillium" w:cs="Calibri"/>
          <w:b/>
          <w:smallCaps/>
          <w:sz w:val="18"/>
          <w:szCs w:val="18"/>
        </w:rPr>
        <w:t>ipotesi alternative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D0B409F" w14:textId="77777777" w:rsidR="004C53A8" w:rsidRDefault="00870286">
      <w:pPr>
        <w:widowControl w:val="0"/>
      </w:pPr>
      <w:r>
        <w:rPr>
          <w:rFonts w:ascii="Titillium" w:hAnsi="Titillium" w:cs="Calibri"/>
          <w:sz w:val="18"/>
          <w:szCs w:val="18"/>
          <w:lang w:eastAsia="it-IT"/>
        </w:rPr>
        <w:t xml:space="preserve">Le clausole alternative sono segnalate dalle espressioni: </w:t>
      </w:r>
      <w:r>
        <w:rPr>
          <w:rFonts w:ascii="Titillium" w:hAnsi="Titillium" w:cs="Calibri"/>
          <w:b/>
          <w:i/>
          <w:sz w:val="18"/>
          <w:szCs w:val="18"/>
        </w:rPr>
        <w:t>[</w:t>
      </w:r>
      <w:r>
        <w:rPr>
          <w:rFonts w:ascii="Titillium" w:hAnsi="Titillium" w:cs="Calibri"/>
          <w:b/>
          <w:i/>
          <w:sz w:val="18"/>
          <w:szCs w:val="18"/>
          <w:lang w:eastAsia="it-IT"/>
        </w:rPr>
        <w:t>o in alternativa]</w:t>
      </w:r>
      <w:r>
        <w:rPr>
          <w:rFonts w:ascii="Titillium" w:hAnsi="Titillium" w:cs="Calibri"/>
          <w:sz w:val="18"/>
          <w:szCs w:val="18"/>
        </w:rPr>
        <w:t xml:space="preserve"> o </w:t>
      </w:r>
      <w:r>
        <w:rPr>
          <w:rFonts w:ascii="Titillium" w:hAnsi="Titillium" w:cs="Calibri"/>
          <w:b/>
          <w:i/>
          <w:sz w:val="18"/>
          <w:szCs w:val="18"/>
        </w:rPr>
        <w:t>[oppure]</w:t>
      </w:r>
      <w:r>
        <w:rPr>
          <w:rFonts w:ascii="Titillium" w:hAnsi="Titillium" w:cs="Calibri"/>
          <w:i/>
          <w:sz w:val="18"/>
          <w:szCs w:val="18"/>
        </w:rPr>
        <w:t xml:space="preserve">. </w:t>
      </w:r>
      <w:r>
        <w:rPr>
          <w:rFonts w:ascii="Titillium" w:hAnsi="Titillium" w:cs="Calibri"/>
          <w:sz w:val="18"/>
          <w:szCs w:val="18"/>
        </w:rPr>
        <w:t xml:space="preserve">La stazione appaltante </w:t>
      </w:r>
      <w:r>
        <w:rPr>
          <w:rFonts w:ascii="Titillium" w:hAnsi="Titillium" w:cs="Calibri"/>
          <w:sz w:val="18"/>
          <w:szCs w:val="18"/>
          <w:lang w:eastAsia="it-IT"/>
        </w:rPr>
        <w:t>sceglie la clausola che ritiene più opportuna.</w:t>
      </w:r>
    </w:p>
    <w:p w14:paraId="23BAEBCE" w14:textId="77777777"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7EB35AD9" w14:textId="7DF9778C" w:rsidR="00C93A93" w:rsidRPr="00C93A93" w:rsidRDefault="00870286" w:rsidP="00C93A93">
      <w:pPr>
        <w:widowControl w:val="0"/>
        <w:tabs>
          <w:tab w:val="left" w:pos="2520"/>
        </w:tabs>
        <w:spacing w:before="160" w:after="60"/>
        <w:rPr>
          <w:rFonts w:ascii="Titillium" w:hAnsi="Titillium" w:cs="Calibri"/>
          <w:sz w:val="18"/>
          <w:szCs w:val="18"/>
          <w:lang w:eastAsia="it-IT"/>
        </w:rPr>
      </w:pPr>
      <w:r>
        <w:rPr>
          <w:rFonts w:ascii="Titillium" w:hAnsi="Titillium" w:cs="Calibri"/>
          <w:sz w:val="18"/>
          <w:szCs w:val="18"/>
          <w:lang w:eastAsia="it-IT"/>
        </w:rPr>
        <w:t>«</w:t>
      </w:r>
      <w:r w:rsidR="00C93A93" w:rsidRPr="00C93A93">
        <w:rPr>
          <w:rFonts w:ascii="Titillium" w:hAnsi="Titillium" w:cs="Calibri"/>
          <w:sz w:val="18"/>
          <w:szCs w:val="18"/>
          <w:lang w:eastAsia="it-IT"/>
        </w:rPr>
        <w:t>Le richieste di chiarimenti sono formulate esclusivamente in lingua italiana.</w:t>
      </w:r>
    </w:p>
    <w:p w14:paraId="51BBD259" w14:textId="77777777" w:rsidR="00C93A93" w:rsidRPr="00C93A93" w:rsidRDefault="00C93A93" w:rsidP="00C93A93">
      <w:pPr>
        <w:widowControl w:val="0"/>
        <w:tabs>
          <w:tab w:val="left" w:pos="2520"/>
        </w:tabs>
        <w:spacing w:before="160" w:after="60"/>
        <w:rPr>
          <w:rFonts w:ascii="Titillium" w:hAnsi="Titillium" w:cs="Calibri"/>
          <w:b/>
          <w:sz w:val="18"/>
          <w:szCs w:val="18"/>
          <w:lang w:eastAsia="it-IT"/>
        </w:rPr>
      </w:pPr>
      <w:r w:rsidRPr="00C93A93">
        <w:rPr>
          <w:rFonts w:ascii="Titillium" w:hAnsi="Titillium" w:cs="Calibri"/>
          <w:b/>
          <w:sz w:val="18"/>
          <w:szCs w:val="18"/>
          <w:lang w:eastAsia="it-IT"/>
        </w:rPr>
        <w:t xml:space="preserve">[o in alternativa in caso di bilinguismo]   </w:t>
      </w:r>
    </w:p>
    <w:p w14:paraId="513AAABE" w14:textId="130F1ABA" w:rsidR="004C53A8" w:rsidRDefault="00C93A93" w:rsidP="00C93A93">
      <w:pPr>
        <w:widowControl w:val="0"/>
        <w:tabs>
          <w:tab w:val="left" w:pos="2520"/>
        </w:tabs>
        <w:spacing w:before="160" w:after="60"/>
        <w:rPr>
          <w:rFonts w:ascii="Titillium" w:hAnsi="Titillium" w:cs="Calibri"/>
          <w:sz w:val="18"/>
          <w:szCs w:val="18"/>
          <w:lang w:eastAsia="it-IT"/>
        </w:rPr>
      </w:pPr>
      <w:r w:rsidRPr="00C93A93">
        <w:rPr>
          <w:rFonts w:ascii="Titillium" w:hAnsi="Titillium" w:cs="Calibri"/>
          <w:sz w:val="18"/>
          <w:szCs w:val="18"/>
          <w:lang w:eastAsia="it-IT"/>
        </w:rPr>
        <w:t>Le richieste di chiarimenti sono formulate in lingua italiana</w:t>
      </w:r>
      <w:r>
        <w:rPr>
          <w:rFonts w:ascii="Titillium" w:hAnsi="Titillium" w:cs="Calibri"/>
          <w:sz w:val="18"/>
          <w:szCs w:val="18"/>
          <w:lang w:eastAsia="it-IT"/>
        </w:rPr>
        <w:t xml:space="preserve"> </w:t>
      </w:r>
      <w:r w:rsidR="00B44957">
        <w:rPr>
          <w:rFonts w:ascii="Titillium" w:hAnsi="Titillium" w:cs="Calibri"/>
          <w:sz w:val="18"/>
          <w:szCs w:val="18"/>
          <w:lang w:eastAsia="it-IT"/>
        </w:rPr>
        <w:t>[</w:t>
      </w:r>
      <w:r w:rsidRPr="00B44957">
        <w:rPr>
          <w:rFonts w:ascii="Titillium" w:hAnsi="Titillium" w:cs="Calibri"/>
          <w:i/>
          <w:sz w:val="18"/>
          <w:szCs w:val="18"/>
          <w:lang w:eastAsia="it-IT"/>
        </w:rPr>
        <w:t>e</w:t>
      </w:r>
      <w:r w:rsidR="00B44957" w:rsidRPr="00B44957">
        <w:rPr>
          <w:rFonts w:ascii="Titillium" w:hAnsi="Titillium" w:cs="Calibri"/>
          <w:i/>
          <w:sz w:val="18"/>
          <w:szCs w:val="18"/>
          <w:lang w:eastAsia="it-IT"/>
        </w:rPr>
        <w:t>, o specificare</w:t>
      </w:r>
      <w:r w:rsidR="00B44957">
        <w:rPr>
          <w:rFonts w:ascii="Titillium" w:hAnsi="Titillium" w:cs="Calibri"/>
          <w:sz w:val="18"/>
          <w:szCs w:val="18"/>
          <w:lang w:eastAsia="it-IT"/>
        </w:rPr>
        <w:t>]</w:t>
      </w:r>
      <w:r>
        <w:rPr>
          <w:rFonts w:ascii="Titillium" w:hAnsi="Titillium" w:cs="Calibri"/>
          <w:sz w:val="18"/>
          <w:szCs w:val="18"/>
          <w:lang w:eastAsia="it-IT"/>
        </w:rPr>
        <w:t xml:space="preserve"> …  [</w:t>
      </w:r>
      <w:r w:rsidRPr="00B44957">
        <w:rPr>
          <w:rFonts w:ascii="Titillium" w:hAnsi="Titillium" w:cs="Calibri"/>
          <w:i/>
          <w:sz w:val="18"/>
          <w:szCs w:val="18"/>
          <w:lang w:eastAsia="it-IT"/>
        </w:rPr>
        <w:t>indicare l’altra lingua</w:t>
      </w:r>
      <w:r>
        <w:rPr>
          <w:rFonts w:ascii="Titillium" w:hAnsi="Titillium" w:cs="Calibri"/>
          <w:sz w:val="18"/>
          <w:szCs w:val="18"/>
          <w:lang w:eastAsia="it-IT"/>
        </w:rPr>
        <w:t>]</w:t>
      </w:r>
      <w:r w:rsidR="00870286">
        <w:rPr>
          <w:rFonts w:ascii="Titillium" w:hAnsi="Titillium" w:cs="Calibri"/>
          <w:sz w:val="18"/>
          <w:szCs w:val="18"/>
          <w:lang w:eastAsia="it-IT"/>
        </w:rPr>
        <w:t>»</w:t>
      </w:r>
    </w:p>
    <w:p w14:paraId="52B50E91" w14:textId="77777777" w:rsidR="004C53A8" w:rsidRDefault="00870286">
      <w:pPr>
        <w:widowControl w:val="0"/>
        <w:tabs>
          <w:tab w:val="left" w:pos="2520"/>
        </w:tabs>
        <w:spacing w:before="60" w:after="60"/>
        <w:ind w:right="-1"/>
        <w:rPr>
          <w:rFonts w:ascii="Titillium" w:hAnsi="Titillium" w:cs="Calibri"/>
          <w:sz w:val="18"/>
          <w:szCs w:val="18"/>
          <w:lang w:eastAsia="it-IT"/>
        </w:rPr>
      </w:pPr>
      <w:r>
        <w:rPr>
          <w:rFonts w:ascii="Titillium" w:hAnsi="Titillium" w:cs="Calibri"/>
          <w:sz w:val="18"/>
          <w:szCs w:val="18"/>
          <w:lang w:eastAsia="it-IT"/>
        </w:rPr>
        <w:t xml:space="preserve"> </w:t>
      </w:r>
    </w:p>
    <w:p w14:paraId="06FCBED3"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46" w:name="_Toc481159797"/>
      <w:bookmarkStart w:id="47" w:name="_Toc481159740"/>
      <w:bookmarkStart w:id="48" w:name="_Toc481159694"/>
      <w:bookmarkStart w:id="49" w:name="_Toc481159355"/>
      <w:bookmarkStart w:id="50" w:name="_Toc481158959"/>
      <w:bookmarkStart w:id="51" w:name="_Toc481159994"/>
      <w:bookmarkStart w:id="52" w:name="_Toc481159849"/>
      <w:bookmarkStart w:id="53" w:name="_Toc416423349"/>
      <w:bookmarkStart w:id="54" w:name="_Toc406754163"/>
      <w:bookmarkStart w:id="55" w:name="_Toc406058363"/>
      <w:bookmarkStart w:id="56" w:name="_Toc403471257"/>
      <w:bookmarkStart w:id="57" w:name="_Toc397422850"/>
      <w:bookmarkStart w:id="58" w:name="_Toc397346809"/>
      <w:bookmarkStart w:id="59" w:name="_Toc393706894"/>
      <w:bookmarkStart w:id="60" w:name="_Toc393700821"/>
      <w:bookmarkStart w:id="61" w:name="_Toc393283162"/>
      <w:bookmarkStart w:id="62" w:name="_Toc393272646"/>
      <w:bookmarkStart w:id="63" w:name="_Toc393272588"/>
      <w:bookmarkStart w:id="64" w:name="_Toc393187832"/>
      <w:bookmarkStart w:id="65" w:name="_Toc393112113"/>
      <w:bookmarkStart w:id="66" w:name="_Toc393110549"/>
      <w:bookmarkStart w:id="67" w:name="_Toc392577482"/>
      <w:bookmarkStart w:id="68" w:name="_Toc391036042"/>
      <w:bookmarkStart w:id="69" w:name="_Toc391035969"/>
      <w:bookmarkStart w:id="70" w:name="_Toc380501857"/>
      <w:bookmarkEnd w:id="46"/>
      <w:bookmarkEnd w:id="47"/>
      <w:bookmarkEnd w:id="48"/>
      <w:bookmarkEnd w:id="49"/>
      <w:bookmarkEnd w:id="50"/>
      <w:bookmarkEnd w:id="51"/>
      <w:bookmarkEnd w:id="52"/>
      <w:r>
        <w:rPr>
          <w:rFonts w:ascii="Titillium" w:hAnsi="Titillium" w:cs="Calibri"/>
          <w:b/>
          <w:smallCaps/>
          <w:sz w:val="18"/>
          <w:szCs w:val="18"/>
        </w:rPr>
        <w:t>parti eventuali e facoltative</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9315894" w14:textId="77777777" w:rsidR="004C53A8" w:rsidRDefault="00870286">
      <w:pPr>
        <w:widowControl w:val="0"/>
        <w:spacing w:before="60"/>
      </w:pPr>
      <w:r>
        <w:rPr>
          <w:rFonts w:ascii="Titillium" w:hAnsi="Titillium" w:cs="Calibri"/>
          <w:sz w:val="18"/>
          <w:szCs w:val="18"/>
          <w:lang w:eastAsia="it-IT"/>
        </w:rPr>
        <w:t xml:space="preserve">Le clausole eventuali e facoltative sono precedute da espressioni quali </w:t>
      </w:r>
      <w:r>
        <w:rPr>
          <w:rFonts w:ascii="Titillium" w:hAnsi="Titillium" w:cs="Calibri"/>
          <w:b/>
          <w:i/>
          <w:sz w:val="18"/>
          <w:szCs w:val="18"/>
          <w:lang w:eastAsia="it-IT"/>
        </w:rPr>
        <w:t>[</w:t>
      </w:r>
      <w:r>
        <w:rPr>
          <w:rFonts w:ascii="Titillium" w:hAnsi="Titillium" w:cs="Calibri"/>
          <w:b/>
          <w:i/>
          <w:sz w:val="18"/>
          <w:szCs w:val="18"/>
        </w:rPr>
        <w:t>Facoltativo</w:t>
      </w:r>
      <w:r>
        <w:rPr>
          <w:rFonts w:ascii="Titillium" w:hAnsi="Titillium" w:cs="Calibri"/>
          <w:b/>
          <w:i/>
          <w:sz w:val="18"/>
          <w:szCs w:val="18"/>
          <w:lang w:eastAsia="it-IT"/>
        </w:rPr>
        <w:t>]</w:t>
      </w:r>
      <w:r>
        <w:rPr>
          <w:rFonts w:ascii="Titillium" w:hAnsi="Titillium" w:cs="Calibri"/>
          <w:i/>
          <w:sz w:val="18"/>
          <w:szCs w:val="18"/>
          <w:lang w:eastAsia="it-IT"/>
        </w:rPr>
        <w:t>,</w:t>
      </w:r>
      <w:r>
        <w:rPr>
          <w:rFonts w:ascii="Titillium" w:hAnsi="Titillium" w:cs="Calibri"/>
          <w:b/>
          <w:i/>
          <w:sz w:val="18"/>
          <w:szCs w:val="18"/>
          <w:lang w:eastAsia="it-IT"/>
        </w:rPr>
        <w:t xml:space="preserve"> [Se richiesto…],</w:t>
      </w:r>
      <w:r>
        <w:rPr>
          <w:rFonts w:ascii="Titillium" w:hAnsi="Titillium" w:cs="Calibri"/>
          <w:sz w:val="18"/>
          <w:szCs w:val="18"/>
        </w:rPr>
        <w:t xml:space="preserve"> </w:t>
      </w:r>
      <w:r>
        <w:rPr>
          <w:rFonts w:ascii="Titillium" w:hAnsi="Titillium" w:cs="Calibri"/>
          <w:b/>
          <w:i/>
          <w:sz w:val="18"/>
          <w:szCs w:val="18"/>
        </w:rPr>
        <w:t>[</w:t>
      </w:r>
      <w:r>
        <w:rPr>
          <w:rFonts w:ascii="Titillium" w:hAnsi="Titillium" w:cs="Calibri"/>
          <w:b/>
          <w:i/>
          <w:sz w:val="18"/>
          <w:szCs w:val="18"/>
          <w:lang w:eastAsia="it-IT"/>
        </w:rPr>
        <w:t>In caso di …]</w:t>
      </w:r>
      <w:r>
        <w:rPr>
          <w:rFonts w:ascii="Titillium" w:hAnsi="Titillium" w:cs="Calibri"/>
          <w:i/>
          <w:sz w:val="18"/>
          <w:szCs w:val="18"/>
          <w:lang w:eastAsia="it-IT"/>
        </w:rPr>
        <w:t xml:space="preserve"> </w:t>
      </w:r>
      <w:r>
        <w:rPr>
          <w:rFonts w:ascii="Titillium" w:hAnsi="Titillium" w:cs="Calibri"/>
          <w:sz w:val="18"/>
          <w:szCs w:val="18"/>
          <w:lang w:eastAsia="it-IT"/>
        </w:rPr>
        <w:t>etc. La stazione appaltante sceglie se inserire o meno la clausola.</w:t>
      </w:r>
    </w:p>
    <w:p w14:paraId="651FFAE2" w14:textId="77777777"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16E89721" w14:textId="516BF193" w:rsidR="004C53A8" w:rsidRDefault="00870286">
      <w:pPr>
        <w:spacing w:before="60" w:after="60"/>
      </w:pPr>
      <w:r>
        <w:rPr>
          <w:rFonts w:ascii="Titillium" w:hAnsi="Titillium" w:cs="Calibri"/>
          <w:b/>
          <w:i/>
          <w:sz w:val="18"/>
          <w:szCs w:val="18"/>
        </w:rPr>
        <w:t xml:space="preserve"> [in caso di vigenza di patti/protocolli di legalità]</w:t>
      </w:r>
      <w:r w:rsidR="003C0646">
        <w:rPr>
          <w:rFonts w:ascii="Titillium" w:hAnsi="Titillium" w:cs="Calibri"/>
          <w:sz w:val="18"/>
          <w:szCs w:val="18"/>
        </w:rPr>
        <w:t xml:space="preserve"> </w:t>
      </w:r>
      <w:r>
        <w:rPr>
          <w:rFonts w:ascii="Titillium" w:hAnsi="Titillium" w:cs="Calibri"/>
          <w:sz w:val="18"/>
          <w:szCs w:val="18"/>
        </w:rPr>
        <w:t xml:space="preserve">l’accettazione di patti di integrità/protocolli di legalità … </w:t>
      </w:r>
      <w:r>
        <w:rPr>
          <w:rFonts w:ascii="Titillium" w:hAnsi="Titillium" w:cs="Calibri"/>
          <w:i/>
          <w:sz w:val="18"/>
          <w:szCs w:val="18"/>
        </w:rPr>
        <w:t>[indicare il riferimento normativo o amministrativo, per esempio legge regionale n. … del …, delibera n… del … da cui discende l’applicazione del suddetto patto/protocollo]</w:t>
      </w:r>
      <w:r>
        <w:rPr>
          <w:rFonts w:ascii="Titillium" w:hAnsi="Titillium" w:cs="Calibri"/>
          <w:sz w:val="18"/>
          <w:szCs w:val="18"/>
        </w:rPr>
        <w:t xml:space="preserve"> allegato alla documentazione di gara. La mancata accettazione delle clausole contenute nel protocollo di legalità/patto di integrità costituisce causa di esclusione dalla gara, ai sensi dell’articolo 83-bis, del decreto legislativo 159/11;</w:t>
      </w:r>
    </w:p>
    <w:p w14:paraId="707794DA" w14:textId="77777777" w:rsidR="004C53A8" w:rsidRDefault="004C53A8">
      <w:pPr>
        <w:widowControl w:val="0"/>
        <w:spacing w:before="60" w:after="60"/>
        <w:ind w:right="425"/>
        <w:rPr>
          <w:rFonts w:ascii="Titillium" w:hAnsi="Titillium" w:cs="Calibri"/>
          <w:b/>
          <w:i/>
          <w:szCs w:val="24"/>
        </w:rPr>
      </w:pPr>
    </w:p>
    <w:p w14:paraId="36965912"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71" w:name="_Toc406058364"/>
      <w:bookmarkStart w:id="72" w:name="_Toc403471258"/>
      <w:bookmarkStart w:id="73" w:name="_Toc397422851"/>
      <w:bookmarkStart w:id="74" w:name="_Toc397346810"/>
      <w:bookmarkStart w:id="75" w:name="_Toc393706895"/>
      <w:bookmarkStart w:id="76" w:name="_Toc393700822"/>
      <w:bookmarkStart w:id="77" w:name="_Toc393283163"/>
      <w:bookmarkStart w:id="78" w:name="_Toc393272647"/>
      <w:bookmarkStart w:id="79" w:name="_Toc393272589"/>
      <w:bookmarkStart w:id="80" w:name="_Toc393187833"/>
      <w:bookmarkStart w:id="81" w:name="_Toc393112114"/>
      <w:bookmarkStart w:id="82" w:name="_Toc393110550"/>
      <w:bookmarkStart w:id="83" w:name="_Toc392577483"/>
      <w:bookmarkStart w:id="84" w:name="_Toc391036043"/>
      <w:bookmarkStart w:id="85" w:name="_Toc391035970"/>
      <w:bookmarkStart w:id="86" w:name="_Toc380501858"/>
      <w:bookmarkStart w:id="87" w:name="_Toc416423350"/>
      <w:bookmarkStart w:id="88" w:name="_Toc406754164"/>
      <w:r>
        <w:rPr>
          <w:rFonts w:ascii="Titillium" w:hAnsi="Titillium" w:cs="Calibri"/>
          <w:b/>
          <w:smallCaps/>
          <w:sz w:val="18"/>
          <w:szCs w:val="18"/>
        </w:rPr>
        <w:lastRenderedPageBreak/>
        <w:t>parti vincolanti</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0E3D457" w14:textId="6747FB31" w:rsidR="004C53A8" w:rsidRDefault="00870286">
      <w:pPr>
        <w:widowControl w:val="0"/>
        <w:spacing w:before="60" w:after="60"/>
        <w:rPr>
          <w:rFonts w:ascii="Titillium" w:hAnsi="Titillium" w:cs="Calibri"/>
          <w:sz w:val="18"/>
          <w:szCs w:val="18"/>
        </w:rPr>
      </w:pPr>
      <w:bookmarkStart w:id="89" w:name="_Toc406754165"/>
      <w:r>
        <w:rPr>
          <w:rFonts w:ascii="Titillium" w:hAnsi="Titillium" w:cs="Calibri"/>
          <w:sz w:val="18"/>
          <w:szCs w:val="18"/>
        </w:rPr>
        <w:t>Le restanti parti sono vincolanti nel senso indicato nella Nota illustrativa.</w:t>
      </w:r>
      <w:bookmarkEnd w:id="89"/>
    </w:p>
    <w:p w14:paraId="4F7C7086" w14:textId="77777777" w:rsidR="00F73B02" w:rsidRDefault="00F73B02">
      <w:pPr>
        <w:widowControl w:val="0"/>
        <w:spacing w:before="60" w:after="60"/>
        <w:rPr>
          <w:rFonts w:ascii="Titillium" w:hAnsi="Titillium" w:cs="Calibri"/>
          <w:sz w:val="18"/>
          <w:szCs w:val="18"/>
        </w:rPr>
      </w:pPr>
    </w:p>
    <w:p w14:paraId="7F55EE69"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90" w:name="_Toc481159801"/>
      <w:bookmarkStart w:id="91" w:name="_Toc481159744"/>
      <w:bookmarkStart w:id="92" w:name="_Toc481159698"/>
      <w:bookmarkStart w:id="93" w:name="_Toc481159359"/>
      <w:bookmarkStart w:id="94" w:name="_Toc481158964"/>
      <w:bookmarkStart w:id="95" w:name="_Toc481159998"/>
      <w:bookmarkStart w:id="96" w:name="_Toc481159853"/>
      <w:bookmarkEnd w:id="90"/>
      <w:bookmarkEnd w:id="91"/>
      <w:bookmarkEnd w:id="92"/>
      <w:bookmarkEnd w:id="93"/>
      <w:bookmarkEnd w:id="94"/>
      <w:bookmarkEnd w:id="95"/>
      <w:bookmarkEnd w:id="96"/>
      <w:r>
        <w:rPr>
          <w:rFonts w:ascii="Titillium" w:hAnsi="Titillium" w:cs="Calibri"/>
          <w:b/>
          <w:smallCaps/>
          <w:sz w:val="18"/>
          <w:szCs w:val="18"/>
        </w:rPr>
        <w:t>indicazioni operative</w:t>
      </w:r>
    </w:p>
    <w:p w14:paraId="1EA82610" w14:textId="77777777" w:rsidR="004C53A8" w:rsidRDefault="00870286">
      <w:pPr>
        <w:widowControl w:val="0"/>
        <w:spacing w:before="60" w:after="60"/>
      </w:pPr>
      <w:r>
        <w:rPr>
          <w:rFonts w:ascii="Titillium" w:hAnsi="Titillium" w:cs="Calibri"/>
          <w:sz w:val="18"/>
          <w:szCs w:val="18"/>
        </w:rPr>
        <w:t xml:space="preserve">In appositi riquadri contrassegnati dall’annotazione </w:t>
      </w:r>
      <w:r>
        <w:rPr>
          <w:rFonts w:ascii="Titillium" w:hAnsi="Titillium" w:cs="Calibri"/>
          <w:i/>
          <w:sz w:val="18"/>
          <w:szCs w:val="18"/>
          <w:bdr w:val="single" w:sz="4" w:space="0" w:color="000000"/>
        </w:rPr>
        <w:t xml:space="preserve">N.B.: ... </w:t>
      </w:r>
      <w:r>
        <w:rPr>
          <w:rFonts w:ascii="Titillium" w:hAnsi="Titillium" w:cs="Calibri"/>
          <w:sz w:val="18"/>
          <w:szCs w:val="18"/>
        </w:rPr>
        <w:t xml:space="preserve"> sono fornite indicazioni operative utili alla stazione appaltante per la stesura del disciplinare. Tali riquadri andranno omessi nel disciplinare compilato dalla stazione appaltante.</w:t>
      </w:r>
    </w:p>
    <w:p w14:paraId="33C8E74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3D5DD38E" w14:textId="77777777" w:rsidR="004C53A8" w:rsidRDefault="004C53A8">
      <w:pPr>
        <w:widowControl w:val="0"/>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3AA7E81D" w14:textId="77777777">
        <w:tc>
          <w:tcPr>
            <w:tcW w:w="9210" w:type="dxa"/>
            <w:tcBorders>
              <w:top w:val="single" w:sz="4" w:space="0" w:color="000000"/>
              <w:left w:val="single" w:sz="4" w:space="0" w:color="000000"/>
              <w:bottom w:val="single" w:sz="4" w:space="0" w:color="000000"/>
              <w:right w:val="single" w:sz="4" w:space="0" w:color="000000"/>
            </w:tcBorders>
          </w:tcPr>
          <w:p w14:paraId="5389C7F9"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 xml:space="preserve">N.B.: nei raggruppamenti temporanei, la mandataria deve, in ogni caso, possedere i requisiti ed eseguire le prestazioni in misura maggioritaria ai sensi dell’articolo 83, comma 8 del Codice. </w:t>
            </w:r>
          </w:p>
          <w:p w14:paraId="67C9900B"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La mandataria di un raggruppamento temporaneo di imprese di tipo verticale, ai sensi dell’articolo 48, comma 2 del Codice, esegue le prestazioni indicate come principali, anche in termini economici, le mandanti quelle indicate come secondarie.</w:t>
            </w:r>
          </w:p>
        </w:tc>
      </w:tr>
    </w:tbl>
    <w:p w14:paraId="56806C83" w14:textId="77777777" w:rsidR="004C53A8" w:rsidRDefault="004C53A8">
      <w:pPr>
        <w:widowControl w:val="0"/>
        <w:spacing w:before="60" w:after="60"/>
        <w:rPr>
          <w:rFonts w:ascii="Titillium" w:hAnsi="Titillium" w:cs="Calibri"/>
          <w:sz w:val="18"/>
          <w:szCs w:val="18"/>
        </w:rPr>
      </w:pPr>
    </w:p>
    <w:p w14:paraId="17CFBE7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 xml:space="preserve">Talvolta sono fornite, tra parentesi quadre, ulteriori indicazioni operative che andranno omesse nel disciplinare compilato dalla stazione appaltante. </w:t>
      </w:r>
    </w:p>
    <w:p w14:paraId="17CAFC7B"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6144A9F6" w14:textId="4EA94E1C" w:rsidR="004C53A8" w:rsidRDefault="00870286">
      <w:pPr>
        <w:widowControl w:val="0"/>
        <w:spacing w:before="60" w:after="60"/>
      </w:pPr>
      <w:r>
        <w:rPr>
          <w:rFonts w:ascii="Titillium" w:hAnsi="Titillium"/>
          <w:i/>
          <w:sz w:val="18"/>
          <w:szCs w:val="18"/>
        </w:rPr>
        <w:t>«[fino all’aggiornamento del DGUE al decreto correttivo di cui al decreto legislativo 19 aprile 2017, n. 56]</w:t>
      </w:r>
      <w:r>
        <w:rPr>
          <w:rFonts w:ascii="Titillium" w:hAnsi="Titillium"/>
          <w:sz w:val="18"/>
          <w:szCs w:val="18"/>
        </w:rPr>
        <w:t xml:space="preserve"> dichiara di non incorrere nelle cause di esclusione di cui all’articolo 80, comma 5 lettera f-bis) e f-ter) del Codice».</w:t>
      </w:r>
    </w:p>
    <w:p w14:paraId="223933D0" w14:textId="77777777" w:rsidR="004C53A8" w:rsidRDefault="00870286">
      <w:pPr>
        <w:spacing w:before="60" w:after="60"/>
        <w:jc w:val="left"/>
        <w:rPr>
          <w:rFonts w:ascii="Titillium" w:hAnsi="Titillium" w:cs="Calibri"/>
          <w:b/>
          <w:szCs w:val="24"/>
        </w:rPr>
      </w:pPr>
      <w:r>
        <w:br w:type="page"/>
      </w:r>
    </w:p>
    <w:p w14:paraId="07856631" w14:textId="77777777" w:rsidR="004C53A8" w:rsidRDefault="00870286">
      <w:pPr>
        <w:pStyle w:val="Titolo1"/>
        <w:spacing w:before="60" w:after="60"/>
        <w:rPr>
          <w:rFonts w:ascii="Titillium" w:hAnsi="Titillium"/>
          <w:sz w:val="18"/>
          <w:szCs w:val="18"/>
        </w:rPr>
      </w:pPr>
      <w:bookmarkStart w:id="97" w:name="_Toc391036044"/>
      <w:bookmarkStart w:id="98" w:name="_Toc392577486"/>
      <w:bookmarkStart w:id="99" w:name="_Toc393110553"/>
      <w:bookmarkStart w:id="100" w:name="_Toc393112117"/>
      <w:bookmarkStart w:id="101" w:name="_Toc485638580"/>
      <w:bookmarkStart w:id="102" w:name="_Toc380501859"/>
      <w:bookmarkStart w:id="103" w:name="_Toc391035971"/>
      <w:bookmarkStart w:id="104" w:name="_Toc95495871"/>
      <w:r>
        <w:rPr>
          <w:rFonts w:ascii="Titillium" w:hAnsi="Titillium"/>
          <w:sz w:val="18"/>
          <w:szCs w:val="18"/>
        </w:rPr>
        <w:lastRenderedPageBreak/>
        <w:t>DISCIPLINARE DI GARA</w:t>
      </w:r>
      <w:bookmarkEnd w:id="97"/>
      <w:bookmarkEnd w:id="98"/>
      <w:bookmarkEnd w:id="99"/>
      <w:bookmarkEnd w:id="100"/>
      <w:bookmarkEnd w:id="101"/>
      <w:bookmarkEnd w:id="102"/>
      <w:bookmarkEnd w:id="103"/>
      <w:bookmarkEnd w:id="104"/>
    </w:p>
    <w:p w14:paraId="23AE1F0C" w14:textId="68CC2DBF" w:rsidR="004C53A8" w:rsidRDefault="00870286">
      <w:pPr>
        <w:spacing w:before="60" w:after="60"/>
        <w:jc w:val="center"/>
      </w:pPr>
      <w:r>
        <w:rPr>
          <w:rFonts w:ascii="Titillium" w:hAnsi="Titillium" w:cs="Calibri"/>
          <w:b/>
          <w:sz w:val="18"/>
          <w:szCs w:val="18"/>
          <w:lang w:eastAsia="it-IT"/>
        </w:rPr>
        <w:t xml:space="preserve">GARA EUROPEA A PROCEDURA </w:t>
      </w:r>
      <w:r w:rsidR="008816E2">
        <w:rPr>
          <w:rFonts w:ascii="Titillium" w:hAnsi="Titillium" w:cs="Calibri"/>
          <w:b/>
          <w:sz w:val="18"/>
          <w:szCs w:val="18"/>
          <w:lang w:eastAsia="it-IT"/>
        </w:rPr>
        <w:t xml:space="preserve">TELEMATICA </w:t>
      </w:r>
      <w:r>
        <w:rPr>
          <w:rFonts w:ascii="Titillium" w:hAnsi="Titillium" w:cs="Calibri"/>
          <w:b/>
          <w:sz w:val="18"/>
          <w:szCs w:val="18"/>
          <w:lang w:eastAsia="it-IT"/>
        </w:rPr>
        <w:t>APERTA PER L’APPALTO DI …</w:t>
      </w:r>
      <w:r>
        <w:rPr>
          <w:rFonts w:ascii="Titillium" w:hAnsi="Titillium" w:cs="Calibri"/>
          <w:i/>
          <w:sz w:val="18"/>
          <w:szCs w:val="18"/>
          <w:lang w:eastAsia="it-IT"/>
        </w:rPr>
        <w:t xml:space="preserve"> [sintetica descrizione dei servizi/forniture oggetto dell’appalto]</w:t>
      </w:r>
    </w:p>
    <w:p w14:paraId="69E9E081" w14:textId="77777777" w:rsidR="004C53A8" w:rsidRDefault="00870286">
      <w:pPr>
        <w:pStyle w:val="Titolo2"/>
        <w:numPr>
          <w:ilvl w:val="0"/>
          <w:numId w:val="0"/>
        </w:numPr>
        <w:rPr>
          <w:rFonts w:ascii="Titillium" w:hAnsi="Titillium"/>
          <w:sz w:val="18"/>
          <w:szCs w:val="18"/>
        </w:rPr>
      </w:pPr>
      <w:bookmarkStart w:id="105" w:name="_Toc482101906"/>
      <w:bookmarkStart w:id="106" w:name="_Toc482101812"/>
      <w:bookmarkStart w:id="107" w:name="_Toc482101719"/>
      <w:bookmarkStart w:id="108" w:name="_Toc482101544"/>
      <w:bookmarkStart w:id="109" w:name="_Toc482101429"/>
      <w:bookmarkStart w:id="110" w:name="_Toc374026426"/>
      <w:bookmarkStart w:id="111" w:name="_Toc374025981"/>
      <w:bookmarkStart w:id="112" w:name="_Toc374025928"/>
      <w:bookmarkStart w:id="113" w:name="_Toc374025834"/>
      <w:bookmarkStart w:id="114" w:name="_Toc374025745"/>
      <w:bookmarkStart w:id="115" w:name="_Toc498419717"/>
      <w:bookmarkStart w:id="116" w:name="_Toc497831525"/>
      <w:bookmarkStart w:id="117" w:name="_Toc497728131"/>
      <w:bookmarkStart w:id="118" w:name="_Toc497484933"/>
      <w:bookmarkStart w:id="119" w:name="_Toc494359015"/>
      <w:bookmarkStart w:id="120" w:name="_Toc494358966"/>
      <w:bookmarkStart w:id="121" w:name="_Toc493500868"/>
      <w:bookmarkStart w:id="122" w:name="_Toc498419716"/>
      <w:bookmarkStart w:id="123" w:name="_Toc497831524"/>
      <w:bookmarkStart w:id="124" w:name="_Toc497728130"/>
      <w:bookmarkStart w:id="125" w:name="_Toc497484932"/>
      <w:bookmarkStart w:id="126" w:name="_Toc494359014"/>
      <w:bookmarkStart w:id="127" w:name="_Toc494358965"/>
      <w:bookmarkStart w:id="128" w:name="_Toc493500867"/>
      <w:bookmarkStart w:id="129" w:name="_Toc482102096"/>
      <w:bookmarkStart w:id="130" w:name="_Toc482102001"/>
      <w:bookmarkStart w:id="131" w:name="_Toc95495872"/>
      <w:bookmarkStart w:id="132" w:name="_Toc391036046"/>
      <w:bookmarkStart w:id="133" w:name="_Toc391035973"/>
      <w:bookmarkStart w:id="134" w:name="_Toc380501861"/>
      <w:bookmarkStart w:id="135" w:name="_Toc35403817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tillium" w:hAnsi="Titillium"/>
          <w:sz w:val="18"/>
          <w:szCs w:val="18"/>
        </w:rPr>
        <w:t>PREMESSE</w:t>
      </w:r>
      <w:bookmarkEnd w:id="131"/>
    </w:p>
    <w:p w14:paraId="4C56AA33" w14:textId="69D0E7E9" w:rsidR="004C53A8" w:rsidRDefault="00870286">
      <w:pPr>
        <w:spacing w:before="60" w:after="60"/>
      </w:pPr>
      <w:r>
        <w:rPr>
          <w:rFonts w:ascii="Titillium" w:hAnsi="Titillium" w:cs="Calibri"/>
          <w:bCs/>
          <w:iCs/>
          <w:sz w:val="18"/>
          <w:szCs w:val="18"/>
        </w:rPr>
        <w:t xml:space="preserve">Con determina/decreto a contrarre n. ... </w:t>
      </w:r>
      <w:r w:rsidR="004B1BA3" w:rsidRPr="00352F6C">
        <w:rPr>
          <w:rFonts w:ascii="Titillium" w:hAnsi="Titillium" w:cs="Calibri"/>
          <w:bCs/>
          <w:i/>
          <w:iCs/>
          <w:sz w:val="18"/>
          <w:szCs w:val="18"/>
        </w:rPr>
        <w:t>[indicare]</w:t>
      </w:r>
      <w:r w:rsidR="008F2434">
        <w:rPr>
          <w:rFonts w:ascii="Titillium" w:hAnsi="Titillium" w:cs="Calibri"/>
          <w:bCs/>
          <w:i/>
          <w:iCs/>
          <w:sz w:val="18"/>
          <w:szCs w:val="18"/>
        </w:rPr>
        <w:t xml:space="preserve"> </w:t>
      </w:r>
      <w:r>
        <w:rPr>
          <w:rFonts w:ascii="Titillium" w:hAnsi="Titillium" w:cs="Calibri"/>
          <w:bCs/>
          <w:iCs/>
          <w:sz w:val="18"/>
          <w:szCs w:val="18"/>
        </w:rPr>
        <w:t>del …</w:t>
      </w:r>
      <w:r w:rsidR="004B1BA3">
        <w:rPr>
          <w:rFonts w:ascii="Titillium" w:hAnsi="Titillium" w:cs="Calibri"/>
          <w:bCs/>
          <w:iCs/>
          <w:sz w:val="18"/>
          <w:szCs w:val="18"/>
        </w:rPr>
        <w:t xml:space="preserve"> </w:t>
      </w:r>
      <w:r w:rsidR="004B1BA3" w:rsidRPr="00352F6C">
        <w:rPr>
          <w:rFonts w:ascii="Titillium" w:hAnsi="Titillium" w:cs="Calibri"/>
          <w:bCs/>
          <w:i/>
          <w:iCs/>
          <w:sz w:val="18"/>
          <w:szCs w:val="18"/>
        </w:rPr>
        <w:t>[indicare]</w:t>
      </w:r>
      <w:r>
        <w:rPr>
          <w:rFonts w:ascii="Titillium" w:hAnsi="Titillium" w:cs="Calibri"/>
          <w:bCs/>
          <w:iCs/>
          <w:sz w:val="18"/>
          <w:szCs w:val="18"/>
        </w:rPr>
        <w:t xml:space="preserve">, questa Amministrazione ha deliberato di affidare il servizio /la fornitura di ... </w:t>
      </w:r>
      <w:r w:rsidRPr="00352F6C">
        <w:rPr>
          <w:rFonts w:ascii="Titillium" w:hAnsi="Titillium" w:cs="Calibri"/>
          <w:bCs/>
          <w:i/>
          <w:iCs/>
          <w:sz w:val="18"/>
          <w:szCs w:val="18"/>
        </w:rPr>
        <w:t>[indicare l’oggetto dell’appalto], [in caso di servizi e forniture per i quali è vigente un decreto sui CAM]</w:t>
      </w:r>
      <w:r>
        <w:rPr>
          <w:rFonts w:ascii="Titillium" w:hAnsi="Titillium" w:cs="Calibri"/>
          <w:bCs/>
          <w:iCs/>
          <w:sz w:val="18"/>
          <w:szCs w:val="18"/>
        </w:rPr>
        <w:t xml:space="preserve"> conforme alle specifiche tecniche e a alle clausole contrattuali contenute nei criteri ambientali minimi di cui al … </w:t>
      </w:r>
      <w:r>
        <w:rPr>
          <w:rFonts w:ascii="Titillium" w:hAnsi="Titillium" w:cs="Calibri"/>
          <w:bCs/>
          <w:i/>
          <w:iCs/>
          <w:sz w:val="18"/>
          <w:szCs w:val="18"/>
        </w:rPr>
        <w:t xml:space="preserve">[indicare il decreto di riferimento emanato dal </w:t>
      </w:r>
      <w:r w:rsidR="008816E2">
        <w:rPr>
          <w:rFonts w:ascii="Titillium" w:hAnsi="Titillium" w:cs="Calibri"/>
          <w:bCs/>
          <w:i/>
          <w:iCs/>
          <w:sz w:val="18"/>
          <w:szCs w:val="18"/>
        </w:rPr>
        <w:t>Ministero della trans</w:t>
      </w:r>
      <w:r w:rsidR="00E526B2">
        <w:rPr>
          <w:rFonts w:ascii="Titillium" w:hAnsi="Titillium" w:cs="Calibri"/>
          <w:bCs/>
          <w:i/>
          <w:iCs/>
          <w:sz w:val="18"/>
          <w:szCs w:val="18"/>
        </w:rPr>
        <w:t>i</w:t>
      </w:r>
      <w:r w:rsidR="008816E2">
        <w:rPr>
          <w:rFonts w:ascii="Titillium" w:hAnsi="Titillium" w:cs="Calibri"/>
          <w:bCs/>
          <w:i/>
          <w:iCs/>
          <w:sz w:val="18"/>
          <w:szCs w:val="18"/>
        </w:rPr>
        <w:t>zione ecologica</w:t>
      </w:r>
      <w:r>
        <w:rPr>
          <w:rFonts w:ascii="Titillium" w:hAnsi="Titillium" w:cs="Calibri"/>
          <w:bCs/>
          <w:i/>
          <w:iCs/>
          <w:sz w:val="18"/>
          <w:szCs w:val="18"/>
        </w:rPr>
        <w:t>.</w:t>
      </w:r>
    </w:p>
    <w:p w14:paraId="33CC519A" w14:textId="77777777" w:rsidR="004C53A8" w:rsidRDefault="004C53A8">
      <w:pPr>
        <w:spacing w:before="60" w:after="60"/>
        <w:ind w:firstLine="1"/>
        <w:rPr>
          <w:rFonts w:ascii="Titillium" w:hAnsi="Titillium" w:cs="Calibri"/>
          <w:szCs w:val="24"/>
        </w:rPr>
      </w:pPr>
    </w:p>
    <w:tbl>
      <w:tblPr>
        <w:tblW w:w="9210" w:type="dxa"/>
        <w:tblInd w:w="-108" w:type="dxa"/>
        <w:tblLook w:val="04A0" w:firstRow="1" w:lastRow="0" w:firstColumn="1" w:lastColumn="0" w:noHBand="0" w:noVBand="1"/>
      </w:tblPr>
      <w:tblGrid>
        <w:gridCol w:w="9210"/>
      </w:tblGrid>
      <w:tr w:rsidR="004C53A8" w14:paraId="3C1D9F88" w14:textId="77777777">
        <w:tc>
          <w:tcPr>
            <w:tcW w:w="9210" w:type="dxa"/>
            <w:tcBorders>
              <w:top w:val="single" w:sz="4" w:space="0" w:color="000000"/>
              <w:left w:val="single" w:sz="4" w:space="0" w:color="000000"/>
              <w:bottom w:val="single" w:sz="4" w:space="0" w:color="000000"/>
              <w:right w:val="single" w:sz="4" w:space="0" w:color="000000"/>
            </w:tcBorders>
          </w:tcPr>
          <w:p w14:paraId="1C57B6DE" w14:textId="6120E5E7" w:rsidR="004C53A8" w:rsidRDefault="00870286" w:rsidP="008816E2">
            <w:pPr>
              <w:spacing w:before="60" w:after="60"/>
              <w:rPr>
                <w:rFonts w:ascii="Titillium" w:hAnsi="Titillium" w:cs="Calibri"/>
                <w:sz w:val="18"/>
                <w:szCs w:val="18"/>
              </w:rPr>
            </w:pPr>
            <w:r>
              <w:rPr>
                <w:rFonts w:ascii="Titillium" w:hAnsi="Titillium" w:cs="Calibri"/>
                <w:sz w:val="18"/>
                <w:szCs w:val="18"/>
              </w:rPr>
              <w:t>N.B.: Di seguito si riporta il link dove è possibile consultare i CAM adottati dal Ministero dell</w:t>
            </w:r>
            <w:r w:rsidR="00B30E15">
              <w:rPr>
                <w:rFonts w:ascii="Titillium" w:hAnsi="Titillium" w:cs="Calibri"/>
                <w:sz w:val="18"/>
                <w:szCs w:val="18"/>
              </w:rPr>
              <w:t>a Trans</w:t>
            </w:r>
            <w:r w:rsidR="00E526B2">
              <w:rPr>
                <w:rFonts w:ascii="Titillium" w:hAnsi="Titillium" w:cs="Calibri"/>
                <w:sz w:val="18"/>
                <w:szCs w:val="18"/>
              </w:rPr>
              <w:t>i</w:t>
            </w:r>
            <w:r w:rsidR="00B30E15">
              <w:rPr>
                <w:rFonts w:ascii="Titillium" w:hAnsi="Titillium" w:cs="Calibri"/>
                <w:sz w:val="18"/>
                <w:szCs w:val="18"/>
              </w:rPr>
              <w:t>zione ecologica</w:t>
            </w:r>
            <w:r>
              <w:rPr>
                <w:rFonts w:ascii="Titillium" w:hAnsi="Titillium" w:cs="Calibri"/>
                <w:sz w:val="18"/>
                <w:szCs w:val="18"/>
              </w:rPr>
              <w:t xml:space="preserve">: </w:t>
            </w:r>
          </w:p>
          <w:p w14:paraId="40634A13" w14:textId="371BCEB3" w:rsidR="008816E2" w:rsidRDefault="00D372C4" w:rsidP="008816E2">
            <w:pPr>
              <w:spacing w:before="60" w:after="60"/>
              <w:rPr>
                <w:rFonts w:ascii="Titillium" w:hAnsi="Titillium" w:cs="Calibri"/>
                <w:sz w:val="18"/>
                <w:szCs w:val="18"/>
              </w:rPr>
            </w:pPr>
            <w:hyperlink r:id="rId8" w:history="1">
              <w:r w:rsidR="00CA5865" w:rsidRPr="000504FF">
                <w:rPr>
                  <w:rStyle w:val="Collegamentoipertestuale"/>
                  <w:rFonts w:ascii="Titillium" w:hAnsi="Titillium" w:cs="Calibri"/>
                  <w:sz w:val="18"/>
                  <w:szCs w:val="18"/>
                </w:rPr>
                <w:t>https://www.mite.gov.it/pagina/i-criteri-ambientali-minimi</w:t>
              </w:r>
            </w:hyperlink>
          </w:p>
        </w:tc>
      </w:tr>
    </w:tbl>
    <w:p w14:paraId="577DFC12" w14:textId="77777777" w:rsidR="004C53A8" w:rsidRDefault="004C53A8">
      <w:pPr>
        <w:widowControl w:val="0"/>
        <w:spacing w:before="60" w:after="60"/>
        <w:rPr>
          <w:rFonts w:ascii="Titillium" w:hAnsi="Titillium" w:cs="Calibri"/>
          <w:szCs w:val="24"/>
        </w:rPr>
      </w:pPr>
    </w:p>
    <w:p w14:paraId="0E0D38D7" w14:textId="02FF14EB" w:rsidR="006F5DBA" w:rsidRDefault="008816E2">
      <w:pPr>
        <w:pStyle w:val="Testocommento"/>
        <w:spacing w:before="60" w:after="60"/>
        <w:rPr>
          <w:rFonts w:ascii="Titillium" w:hAnsi="Titillium" w:cs="Calibri"/>
          <w:bCs/>
          <w:iCs/>
          <w:sz w:val="18"/>
          <w:szCs w:val="18"/>
          <w:lang w:val="it-IT" w:eastAsia="it-IT"/>
        </w:rPr>
      </w:pPr>
      <w:r w:rsidRPr="008816E2">
        <w:rPr>
          <w:rFonts w:ascii="Titillium" w:hAnsi="Titillium" w:cs="Calibri"/>
          <w:bCs/>
          <w:iCs/>
          <w:sz w:val="18"/>
          <w:szCs w:val="18"/>
          <w:lang w:val="it-IT" w:eastAsia="it-IT"/>
        </w:rPr>
        <w:t>Ai sensi dell’art</w:t>
      </w:r>
      <w:r>
        <w:rPr>
          <w:rFonts w:ascii="Titillium" w:hAnsi="Titillium" w:cs="Calibri"/>
          <w:bCs/>
          <w:iCs/>
          <w:sz w:val="18"/>
          <w:szCs w:val="18"/>
          <w:lang w:val="it-IT" w:eastAsia="it-IT"/>
        </w:rPr>
        <w:t>icolo</w:t>
      </w:r>
      <w:r w:rsidRPr="008816E2">
        <w:rPr>
          <w:rFonts w:ascii="Titillium" w:hAnsi="Titillium" w:cs="Calibri"/>
          <w:bCs/>
          <w:iCs/>
          <w:sz w:val="18"/>
          <w:szCs w:val="18"/>
          <w:lang w:val="it-IT" w:eastAsia="it-IT"/>
        </w:rPr>
        <w:t xml:space="preserve"> 58 del Codice, la presente procedura aperta è interamente svolta tramite il sistema informatico per le procedure telematiche di acquisto (di seguito Piattaforma) accessibile all’indirizzo www … </w:t>
      </w:r>
      <w:r w:rsidRPr="006605E1">
        <w:rPr>
          <w:rFonts w:ascii="Titillium" w:hAnsi="Titillium" w:cs="Calibri"/>
          <w:bCs/>
          <w:i/>
          <w:iCs/>
          <w:sz w:val="18"/>
          <w:szCs w:val="18"/>
          <w:lang w:val="it-IT" w:eastAsia="it-IT"/>
        </w:rPr>
        <w:t xml:space="preserve">[indicare] </w:t>
      </w:r>
      <w:r>
        <w:rPr>
          <w:rFonts w:ascii="Titillium" w:hAnsi="Titillium" w:cs="Calibri"/>
          <w:bCs/>
          <w:iCs/>
          <w:sz w:val="18"/>
          <w:szCs w:val="18"/>
          <w:lang w:val="it-IT" w:eastAsia="it-IT"/>
        </w:rPr>
        <w:t>e conforme alle prescrizioni dell’articolo 44 del Codice</w:t>
      </w:r>
      <w:r w:rsidR="00F73B02" w:rsidRPr="00F73B02">
        <w:t xml:space="preserve"> </w:t>
      </w:r>
      <w:r w:rsidR="000C70DE">
        <w:rPr>
          <w:lang w:val="it-IT"/>
        </w:rPr>
        <w:t xml:space="preserve">e del </w:t>
      </w:r>
      <w:r w:rsidR="00F73B02" w:rsidRPr="00F73B02">
        <w:rPr>
          <w:rFonts w:ascii="Titillium" w:hAnsi="Titillium" w:cs="Calibri"/>
          <w:bCs/>
          <w:iCs/>
          <w:sz w:val="18"/>
          <w:szCs w:val="18"/>
          <w:lang w:val="it-IT" w:eastAsia="it-IT"/>
        </w:rPr>
        <w:t>decreto della Presidenza del Consiglio dei Ministri n. 148</w:t>
      </w:r>
      <w:r w:rsidR="00F73B02">
        <w:rPr>
          <w:rFonts w:ascii="Titillium" w:hAnsi="Titillium" w:cs="Calibri"/>
          <w:bCs/>
          <w:iCs/>
          <w:sz w:val="18"/>
          <w:szCs w:val="18"/>
          <w:lang w:val="it-IT" w:eastAsia="it-IT"/>
        </w:rPr>
        <w:t>/</w:t>
      </w:r>
      <w:r w:rsidR="00847E89">
        <w:rPr>
          <w:rFonts w:ascii="Titillium" w:hAnsi="Titillium" w:cs="Calibri"/>
          <w:bCs/>
          <w:iCs/>
          <w:sz w:val="18"/>
          <w:szCs w:val="18"/>
          <w:lang w:val="it-IT" w:eastAsia="it-IT"/>
        </w:rPr>
        <w:t>20</w:t>
      </w:r>
      <w:r w:rsidR="00F73B02">
        <w:rPr>
          <w:rFonts w:ascii="Titillium" w:hAnsi="Titillium" w:cs="Calibri"/>
          <w:bCs/>
          <w:iCs/>
          <w:sz w:val="18"/>
          <w:szCs w:val="18"/>
          <w:lang w:val="it-IT" w:eastAsia="it-IT"/>
        </w:rPr>
        <w:t>21</w:t>
      </w:r>
      <w:r>
        <w:rPr>
          <w:rFonts w:ascii="Titillium" w:hAnsi="Titillium" w:cs="Calibri"/>
          <w:bCs/>
          <w:iCs/>
          <w:sz w:val="18"/>
          <w:szCs w:val="18"/>
          <w:lang w:val="it-IT" w:eastAsia="it-IT"/>
        </w:rPr>
        <w:t xml:space="preserve">. </w:t>
      </w:r>
      <w:r w:rsidRPr="008816E2">
        <w:rPr>
          <w:rFonts w:ascii="Titillium" w:hAnsi="Titillium" w:cs="Calibri"/>
          <w:bCs/>
          <w:iCs/>
          <w:sz w:val="18"/>
          <w:szCs w:val="18"/>
          <w:lang w:val="it-IT" w:eastAsia="it-IT"/>
        </w:rPr>
        <w:t>Tramite il sito si accede alla procedura nonché alla documentazione di gara</w:t>
      </w:r>
      <w:r>
        <w:rPr>
          <w:rFonts w:ascii="Titillium" w:hAnsi="Titillium" w:cs="Calibri"/>
          <w:bCs/>
          <w:iCs/>
          <w:sz w:val="18"/>
          <w:szCs w:val="18"/>
          <w:lang w:val="it-IT" w:eastAsia="it-IT"/>
        </w:rPr>
        <w:t>.</w:t>
      </w:r>
    </w:p>
    <w:p w14:paraId="173C2C50" w14:textId="2D841B0B" w:rsidR="004C53A8" w:rsidRDefault="00870286">
      <w:pPr>
        <w:pStyle w:val="Testocommento"/>
        <w:spacing w:before="60" w:after="60"/>
      </w:pPr>
      <w:r>
        <w:rPr>
          <w:rFonts w:ascii="Titillium" w:hAnsi="Titillium" w:cs="Calibri"/>
          <w:bCs/>
          <w:iCs/>
          <w:sz w:val="18"/>
          <w:szCs w:val="18"/>
          <w:lang w:val="it-IT" w:eastAsia="it-IT"/>
        </w:rPr>
        <w:t xml:space="preserve">L’affidamento </w:t>
      </w:r>
      <w:r>
        <w:rPr>
          <w:rFonts w:ascii="Titillium" w:hAnsi="Titillium" w:cs="Calibri"/>
          <w:bCs/>
          <w:iCs/>
          <w:sz w:val="18"/>
          <w:szCs w:val="18"/>
          <w:lang w:eastAsia="it-IT"/>
        </w:rPr>
        <w:t>avv</w:t>
      </w:r>
      <w:r>
        <w:rPr>
          <w:rFonts w:ascii="Titillium" w:hAnsi="Titillium" w:cs="Calibri"/>
          <w:bCs/>
          <w:iCs/>
          <w:sz w:val="18"/>
          <w:szCs w:val="18"/>
          <w:lang w:val="it-IT" w:eastAsia="it-IT"/>
        </w:rPr>
        <w:t>iene</w:t>
      </w:r>
      <w:r>
        <w:rPr>
          <w:rFonts w:ascii="Titillium" w:hAnsi="Titillium" w:cs="Calibri"/>
          <w:bCs/>
          <w:iCs/>
          <w:sz w:val="18"/>
          <w:szCs w:val="18"/>
          <w:lang w:eastAsia="it-IT"/>
        </w:rPr>
        <w:t xml:space="preserve"> mediante procedura aperta</w:t>
      </w:r>
      <w:r>
        <w:rPr>
          <w:rFonts w:ascii="Titillium" w:hAnsi="Titillium" w:cs="Calibri"/>
          <w:bCs/>
          <w:iCs/>
          <w:sz w:val="18"/>
          <w:szCs w:val="18"/>
          <w:lang w:val="it-IT" w:eastAsia="it-IT"/>
        </w:rPr>
        <w:t xml:space="preserve"> </w:t>
      </w:r>
      <w:r>
        <w:rPr>
          <w:rFonts w:ascii="Titillium" w:hAnsi="Titillium" w:cs="Calibri"/>
          <w:bCs/>
          <w:iCs/>
          <w:sz w:val="18"/>
          <w:szCs w:val="18"/>
          <w:lang w:eastAsia="it-IT"/>
        </w:rPr>
        <w:t xml:space="preserve">con </w:t>
      </w:r>
      <w:r>
        <w:rPr>
          <w:rFonts w:ascii="Titillium" w:hAnsi="Titillium" w:cs="Calibri"/>
          <w:bCs/>
          <w:iCs/>
          <w:sz w:val="18"/>
          <w:szCs w:val="18"/>
          <w:lang w:val="it-IT" w:eastAsia="it-IT"/>
        </w:rPr>
        <w:t xml:space="preserve">applicazione del </w:t>
      </w:r>
      <w:r>
        <w:rPr>
          <w:rFonts w:ascii="Titillium" w:hAnsi="Titillium" w:cs="Calibri"/>
          <w:bCs/>
          <w:iCs/>
          <w:sz w:val="18"/>
          <w:szCs w:val="18"/>
          <w:lang w:eastAsia="it-IT"/>
        </w:rPr>
        <w:t>criterio dell’offerta economicamente più vantaggiosa</w:t>
      </w:r>
      <w:r>
        <w:rPr>
          <w:rFonts w:ascii="Titillium" w:hAnsi="Titillium" w:cs="Calibri"/>
          <w:bCs/>
          <w:iCs/>
          <w:sz w:val="18"/>
          <w:szCs w:val="18"/>
          <w:lang w:val="it-IT" w:eastAsia="it-IT"/>
        </w:rPr>
        <w:t xml:space="preserve"> individuata sulla base del miglior rapporto qualità prezzo</w:t>
      </w:r>
      <w:r>
        <w:rPr>
          <w:rFonts w:ascii="Titillium" w:hAnsi="Titillium" w:cs="Calibri"/>
          <w:bCs/>
          <w:iCs/>
          <w:sz w:val="18"/>
          <w:szCs w:val="18"/>
          <w:lang w:eastAsia="it-IT"/>
        </w:rPr>
        <w:t xml:space="preserve">, ai sensi degli articoli 34 </w:t>
      </w:r>
      <w:r>
        <w:rPr>
          <w:rFonts w:ascii="Titillium" w:hAnsi="Titillium" w:cs="Calibri"/>
          <w:b/>
          <w:bCs/>
          <w:iCs/>
          <w:sz w:val="18"/>
          <w:szCs w:val="18"/>
          <w:lang w:eastAsia="it-IT"/>
        </w:rPr>
        <w:t>[</w:t>
      </w:r>
      <w:r>
        <w:rPr>
          <w:rFonts w:ascii="Titillium" w:hAnsi="Titillium" w:cs="Calibri"/>
          <w:b/>
          <w:bCs/>
          <w:iCs/>
          <w:sz w:val="18"/>
          <w:szCs w:val="18"/>
        </w:rPr>
        <w:t>in caso di servizi e forniture per i quali è vigente un decreto sui CAM</w:t>
      </w:r>
      <w:r>
        <w:rPr>
          <w:rFonts w:ascii="Titillium" w:hAnsi="Titillium" w:cs="Calibri"/>
          <w:b/>
          <w:bCs/>
          <w:iCs/>
          <w:sz w:val="18"/>
          <w:szCs w:val="18"/>
          <w:lang w:eastAsia="it-IT"/>
        </w:rPr>
        <w:t>]</w:t>
      </w:r>
      <w:r>
        <w:rPr>
          <w:rFonts w:ascii="Titillium" w:hAnsi="Titillium" w:cs="Calibri"/>
          <w:bCs/>
          <w:iCs/>
          <w:sz w:val="18"/>
          <w:szCs w:val="18"/>
          <w:lang w:eastAsia="it-IT"/>
        </w:rPr>
        <w:t>, 44</w:t>
      </w:r>
      <w:r w:rsidR="00C93A93">
        <w:rPr>
          <w:rFonts w:ascii="Titillium" w:hAnsi="Titillium" w:cs="Calibri"/>
          <w:bCs/>
          <w:iCs/>
          <w:sz w:val="18"/>
          <w:szCs w:val="18"/>
          <w:lang w:val="it-IT" w:eastAsia="it-IT"/>
        </w:rPr>
        <w:t>,</w:t>
      </w:r>
      <w:r>
        <w:rPr>
          <w:rFonts w:ascii="Titillium" w:hAnsi="Titillium" w:cs="Calibri"/>
          <w:bCs/>
          <w:iCs/>
          <w:sz w:val="18"/>
          <w:szCs w:val="18"/>
          <w:lang w:eastAsia="it-IT"/>
        </w:rPr>
        <w:t xml:space="preserve"> </w:t>
      </w:r>
      <w:r>
        <w:rPr>
          <w:rFonts w:ascii="Titillium" w:hAnsi="Titillium" w:cs="Calibri"/>
          <w:bCs/>
          <w:iCs/>
          <w:sz w:val="18"/>
          <w:szCs w:val="18"/>
          <w:lang w:val="it-IT" w:eastAsia="it-IT"/>
        </w:rPr>
        <w:t xml:space="preserve">52, 58, </w:t>
      </w:r>
      <w:r>
        <w:rPr>
          <w:rFonts w:ascii="Titillium" w:hAnsi="Titillium" w:cs="Calibri"/>
          <w:bCs/>
          <w:iCs/>
          <w:sz w:val="18"/>
          <w:szCs w:val="18"/>
          <w:lang w:eastAsia="it-IT"/>
        </w:rPr>
        <w:t xml:space="preserve">60 e 95 del Codice. </w:t>
      </w:r>
    </w:p>
    <w:p w14:paraId="7A7CB082" w14:textId="77777777" w:rsidR="004C53A8" w:rsidRDefault="00870286">
      <w:pPr>
        <w:tabs>
          <w:tab w:val="left" w:pos="360"/>
        </w:tabs>
        <w:spacing w:before="60" w:after="60"/>
      </w:pPr>
      <w:r>
        <w:rPr>
          <w:rFonts w:ascii="Titillium" w:hAnsi="Titillium" w:cs="Calibri"/>
          <w:bCs/>
          <w:iCs/>
          <w:sz w:val="18"/>
          <w:szCs w:val="18"/>
        </w:rPr>
        <w:t>Il luogo di …</w:t>
      </w:r>
      <w:r>
        <w:rPr>
          <w:rFonts w:ascii="Titillium" w:hAnsi="Titillium" w:cs="Calibri"/>
          <w:bCs/>
          <w:i/>
          <w:iCs/>
          <w:sz w:val="18"/>
          <w:szCs w:val="18"/>
        </w:rPr>
        <w:t xml:space="preserve"> </w:t>
      </w:r>
      <w:r>
        <w:rPr>
          <w:rFonts w:ascii="Titillium" w:hAnsi="Titillium" w:cs="Calibri"/>
          <w:bCs/>
          <w:iCs/>
          <w:sz w:val="18"/>
          <w:szCs w:val="18"/>
        </w:rPr>
        <w:t>svolgimento del servizio/consegna della fornitura è ... [codice NUTS ...]</w:t>
      </w:r>
    </w:p>
    <w:p w14:paraId="1C8C54F4" w14:textId="77777777" w:rsidR="004C53A8" w:rsidRDefault="00870286">
      <w:pPr>
        <w:tabs>
          <w:tab w:val="left" w:pos="360"/>
        </w:tabs>
        <w:spacing w:before="60" w:after="60"/>
      </w:pPr>
      <w:r>
        <w:rPr>
          <w:rFonts w:ascii="Titillium" w:hAnsi="Titillium" w:cs="Calibri"/>
          <w:bCs/>
          <w:iCs/>
          <w:sz w:val="18"/>
          <w:szCs w:val="18"/>
        </w:rPr>
        <w:t xml:space="preserve">CIG … CUI … CUP … </w:t>
      </w:r>
      <w:r>
        <w:rPr>
          <w:rFonts w:ascii="Titillium" w:hAnsi="Titillium" w:cs="Calibri"/>
          <w:bCs/>
          <w:i/>
          <w:iCs/>
          <w:sz w:val="18"/>
          <w:szCs w:val="18"/>
        </w:rPr>
        <w:t>[indicare solo se obbligatorio]</w:t>
      </w:r>
    </w:p>
    <w:p w14:paraId="4EA3D381" w14:textId="77777777" w:rsidR="004C53A8" w:rsidRDefault="00870286">
      <w:pPr>
        <w:spacing w:before="60" w:after="60"/>
        <w:rPr>
          <w:rFonts w:ascii="Titillium" w:hAnsi="Titillium" w:cs="Calibri"/>
          <w:b/>
          <w:bCs/>
          <w:i/>
          <w:iCs/>
          <w:sz w:val="18"/>
          <w:szCs w:val="18"/>
        </w:rPr>
      </w:pPr>
      <w:r>
        <w:rPr>
          <w:rFonts w:ascii="Titillium" w:hAnsi="Titillium" w:cs="Calibri"/>
          <w:b/>
          <w:bCs/>
          <w:i/>
          <w:iCs/>
          <w:sz w:val="18"/>
          <w:szCs w:val="18"/>
        </w:rPr>
        <w:t>[In caso di suddivisione in lotti]</w:t>
      </w:r>
    </w:p>
    <w:p w14:paraId="7DF5E4E9" w14:textId="77777777" w:rsidR="004C53A8" w:rsidRDefault="00870286">
      <w:pPr>
        <w:spacing w:before="60" w:after="60"/>
      </w:pPr>
      <w:r>
        <w:rPr>
          <w:rFonts w:ascii="Titillium" w:hAnsi="Titillium" w:cs="Calibri"/>
          <w:bCs/>
          <w:iCs/>
          <w:sz w:val="18"/>
          <w:szCs w:val="18"/>
        </w:rPr>
        <w:t xml:space="preserve">lotto 1 CIG … CUI … CUP … </w:t>
      </w:r>
      <w:r>
        <w:rPr>
          <w:rFonts w:ascii="Titillium" w:hAnsi="Titillium" w:cs="Calibri"/>
          <w:bCs/>
          <w:i/>
          <w:iCs/>
          <w:sz w:val="18"/>
          <w:szCs w:val="18"/>
        </w:rPr>
        <w:t>[indicare solo se obbligatorio]</w:t>
      </w:r>
    </w:p>
    <w:p w14:paraId="5D5BB1CF" w14:textId="77777777" w:rsidR="004C53A8" w:rsidRDefault="00870286">
      <w:pPr>
        <w:spacing w:before="60" w:after="60"/>
      </w:pPr>
      <w:r>
        <w:rPr>
          <w:rFonts w:ascii="Titillium" w:hAnsi="Titillium" w:cs="Calibri"/>
          <w:bCs/>
          <w:iCs/>
          <w:sz w:val="18"/>
          <w:szCs w:val="18"/>
        </w:rPr>
        <w:t xml:space="preserve">lotto 2 CIG … CUI … CUP … </w:t>
      </w:r>
      <w:r>
        <w:rPr>
          <w:rFonts w:ascii="Titillium" w:hAnsi="Titillium" w:cs="Calibri"/>
          <w:bCs/>
          <w:i/>
          <w:iCs/>
          <w:sz w:val="18"/>
          <w:szCs w:val="18"/>
        </w:rPr>
        <w:t>[indicare solo se obbligatorio]</w:t>
      </w:r>
    </w:p>
    <w:p w14:paraId="21C13315" w14:textId="77777777" w:rsidR="004C53A8" w:rsidRDefault="00870286">
      <w:pPr>
        <w:spacing w:before="60" w:after="60"/>
      </w:pPr>
      <w:r>
        <w:rPr>
          <w:rFonts w:ascii="Titillium" w:hAnsi="Titillium" w:cs="Calibri"/>
          <w:bCs/>
          <w:iCs/>
          <w:sz w:val="18"/>
          <w:szCs w:val="18"/>
        </w:rPr>
        <w:t xml:space="preserve">Il </w:t>
      </w:r>
      <w:r>
        <w:rPr>
          <w:rFonts w:ascii="Titillium" w:hAnsi="Titillium" w:cs="Calibri"/>
          <w:b/>
          <w:bCs/>
          <w:iCs/>
          <w:sz w:val="18"/>
          <w:szCs w:val="18"/>
        </w:rPr>
        <w:t>Responsabile del procedimento</w:t>
      </w:r>
      <w:r>
        <w:rPr>
          <w:rFonts w:ascii="Titillium" w:hAnsi="Titillium" w:cs="Calibri"/>
          <w:bCs/>
          <w:iCs/>
          <w:sz w:val="18"/>
          <w:szCs w:val="18"/>
        </w:rPr>
        <w:t>, ai sensi dell’articolo 31</w:t>
      </w:r>
      <w:r>
        <w:rPr>
          <w:rFonts w:ascii="Titillium" w:hAnsi="Titillium" w:cs="Calibri"/>
          <w:bCs/>
          <w:iCs/>
          <w:color w:val="7030A0"/>
          <w:sz w:val="18"/>
          <w:szCs w:val="18"/>
        </w:rPr>
        <w:t xml:space="preserve"> </w:t>
      </w:r>
      <w:r>
        <w:rPr>
          <w:rFonts w:ascii="Titillium" w:hAnsi="Titillium" w:cs="Calibri"/>
          <w:bCs/>
          <w:iCs/>
          <w:sz w:val="18"/>
          <w:szCs w:val="18"/>
        </w:rPr>
        <w:t xml:space="preserve">del Codice, è </w:t>
      </w:r>
      <w:r>
        <w:rPr>
          <w:rFonts w:ascii="Titillium" w:hAnsi="Titillium" w:cs="Calibri"/>
          <w:bCs/>
          <w:i/>
          <w:iCs/>
          <w:sz w:val="18"/>
          <w:szCs w:val="18"/>
        </w:rPr>
        <w:t>… [indicare nome, cognome e indirizzo email].</w:t>
      </w:r>
    </w:p>
    <w:p w14:paraId="639E5ADB" w14:textId="35D2D82C" w:rsidR="004C53A8" w:rsidRPr="000D68B4" w:rsidRDefault="000D68B4">
      <w:pPr>
        <w:pStyle w:val="Titolo2"/>
        <w:numPr>
          <w:ilvl w:val="0"/>
          <w:numId w:val="4"/>
        </w:numPr>
        <w:spacing w:after="200"/>
        <w:ind w:left="357" w:hanging="357"/>
        <w:rPr>
          <w:rFonts w:ascii="Titillium" w:hAnsi="Titillium"/>
          <w:caps w:val="0"/>
          <w:sz w:val="18"/>
          <w:szCs w:val="18"/>
        </w:rPr>
      </w:pPr>
      <w:bookmarkStart w:id="136" w:name="_Toc95495873"/>
      <w:r w:rsidRPr="000D68B4">
        <w:rPr>
          <w:rFonts w:ascii="Titillium" w:hAnsi="Titillium"/>
          <w:caps w:val="0"/>
          <w:sz w:val="18"/>
          <w:szCs w:val="18"/>
        </w:rPr>
        <w:t>PIATTAFORMA TELEMATICA</w:t>
      </w:r>
      <w:bookmarkEnd w:id="136"/>
      <w:r w:rsidRPr="000D68B4">
        <w:rPr>
          <w:rFonts w:ascii="Titillium" w:hAnsi="Titillium"/>
          <w:caps w:val="0"/>
          <w:sz w:val="18"/>
          <w:szCs w:val="18"/>
        </w:rPr>
        <w:t xml:space="preserve"> </w:t>
      </w:r>
    </w:p>
    <w:p w14:paraId="4D105DB2" w14:textId="12CEF3DE" w:rsidR="004C53A8" w:rsidRDefault="004C667D">
      <w:pPr>
        <w:pStyle w:val="Titolo3"/>
        <w:numPr>
          <w:ilvl w:val="1"/>
          <w:numId w:val="4"/>
        </w:numPr>
        <w:ind w:left="426" w:hanging="426"/>
      </w:pPr>
      <w:bookmarkStart w:id="137" w:name="_Toc95495874"/>
      <w:r>
        <w:rPr>
          <w:rFonts w:ascii="Titillium" w:hAnsi="Titillium"/>
          <w:iCs/>
          <w:caps w:val="0"/>
          <w:sz w:val="18"/>
          <w:szCs w:val="18"/>
        </w:rPr>
        <w:t>LA PIATTAFORMA TELEMATICA DI NEGOZIAZIONE</w:t>
      </w:r>
      <w:bookmarkEnd w:id="137"/>
      <w:r>
        <w:rPr>
          <w:rFonts w:ascii="Titillium" w:hAnsi="Titillium"/>
          <w:iCs/>
          <w:caps w:val="0"/>
          <w:sz w:val="18"/>
          <w:szCs w:val="18"/>
        </w:rPr>
        <w:t xml:space="preserve"> </w:t>
      </w:r>
    </w:p>
    <w:p w14:paraId="70B9FF67" w14:textId="0A34434F" w:rsidR="004C53A8" w:rsidRDefault="00870286">
      <w:pPr>
        <w:tabs>
          <w:tab w:val="left" w:pos="567"/>
        </w:tabs>
        <w:spacing w:before="60" w:after="60"/>
        <w:rPr>
          <w:rFonts w:ascii="Titillium" w:hAnsi="Titillium" w:cs="Calibri"/>
          <w:b/>
          <w:bCs/>
          <w:iCs/>
          <w:sz w:val="18"/>
          <w:szCs w:val="18"/>
        </w:rPr>
      </w:pPr>
      <w:r>
        <w:rPr>
          <w:rFonts w:ascii="Titillium" w:hAnsi="Titillium" w:cs="Calibri"/>
          <w:bCs/>
          <w:iCs/>
          <w:sz w:val="18"/>
          <w:szCs w:val="18"/>
        </w:rPr>
        <w:t xml:space="preserve">Il funzionamento della Piattaforma avviene nel rispetto della legislazione vigente e, in particolare, del Regolamento UE n. 910/2014 (di seguito Regolamento eIDAS - electronic IDentification Authentication and Signature), del </w:t>
      </w:r>
      <w:r>
        <w:rPr>
          <w:rFonts w:ascii="Titillium" w:hAnsi="Titillium" w:cs="Calibri"/>
          <w:bCs/>
          <w:sz w:val="18"/>
          <w:szCs w:val="18"/>
        </w:rPr>
        <w:t>decreto legislativo n. 82/</w:t>
      </w:r>
      <w:r w:rsidR="00301477">
        <w:rPr>
          <w:rFonts w:ascii="Titillium" w:hAnsi="Titillium" w:cs="Calibri"/>
          <w:bCs/>
          <w:sz w:val="18"/>
          <w:szCs w:val="18"/>
        </w:rPr>
        <w:t>20</w:t>
      </w:r>
      <w:r>
        <w:rPr>
          <w:rFonts w:ascii="Titillium" w:hAnsi="Titillium" w:cs="Calibri"/>
          <w:bCs/>
          <w:sz w:val="18"/>
          <w:szCs w:val="18"/>
        </w:rPr>
        <w:t>05 (</w:t>
      </w:r>
      <w:r>
        <w:rPr>
          <w:rFonts w:ascii="Titillium" w:hAnsi="Titillium" w:cs="Calibri"/>
          <w:bCs/>
          <w:iCs/>
          <w:sz w:val="18"/>
          <w:szCs w:val="18"/>
        </w:rPr>
        <w:t xml:space="preserve">Codice dell’amministrazione digitale), del </w:t>
      </w:r>
      <w:r w:rsidR="00301477" w:rsidRPr="00301477">
        <w:rPr>
          <w:rFonts w:ascii="Titillium" w:hAnsi="Titillium" w:cs="Calibri"/>
          <w:bCs/>
          <w:iCs/>
          <w:sz w:val="18"/>
          <w:szCs w:val="18"/>
        </w:rPr>
        <w:t xml:space="preserve">decreto legislativo </w:t>
      </w:r>
      <w:r w:rsidR="00301477">
        <w:rPr>
          <w:rFonts w:ascii="Titillium" w:hAnsi="Titillium" w:cs="Calibri"/>
          <w:bCs/>
          <w:iCs/>
          <w:sz w:val="18"/>
          <w:szCs w:val="18"/>
        </w:rPr>
        <w:t>n. 50/2016</w:t>
      </w:r>
      <w:r>
        <w:rPr>
          <w:rFonts w:ascii="Titillium" w:hAnsi="Titillium" w:cs="Calibri"/>
          <w:bCs/>
          <w:iCs/>
          <w:sz w:val="18"/>
          <w:szCs w:val="18"/>
        </w:rPr>
        <w:t xml:space="preserve"> e dei suoi atti di attuazione</w:t>
      </w:r>
      <w:r w:rsidR="00CA5865">
        <w:rPr>
          <w:rFonts w:ascii="Titillium" w:hAnsi="Titillium" w:cs="Calibri"/>
          <w:bCs/>
          <w:iCs/>
          <w:sz w:val="18"/>
          <w:szCs w:val="18"/>
        </w:rPr>
        <w:t xml:space="preserve">, in particolare il decreto </w:t>
      </w:r>
      <w:r w:rsidR="00CA5865" w:rsidRPr="00F73B02">
        <w:rPr>
          <w:rFonts w:ascii="Titillium" w:hAnsi="Titillium" w:cs="Calibri"/>
          <w:bCs/>
          <w:sz w:val="18"/>
          <w:szCs w:val="18"/>
        </w:rPr>
        <w:t>della Presidenza del Consiglio dei Ministri</w:t>
      </w:r>
      <w:r w:rsidR="00CA5865">
        <w:rPr>
          <w:rFonts w:ascii="Titillium" w:hAnsi="Titillium" w:cs="Calibri"/>
          <w:b/>
          <w:bCs/>
          <w:i/>
          <w:sz w:val="18"/>
          <w:szCs w:val="18"/>
        </w:rPr>
        <w:t xml:space="preserve"> </w:t>
      </w:r>
      <w:r w:rsidR="00CA5865">
        <w:rPr>
          <w:rFonts w:ascii="Titillium" w:hAnsi="Titillium" w:cs="Calibri"/>
          <w:bCs/>
          <w:iCs/>
          <w:sz w:val="18"/>
          <w:szCs w:val="18"/>
        </w:rPr>
        <w:t>n. 148/2021, e d</w:t>
      </w:r>
      <w:r>
        <w:rPr>
          <w:rFonts w:ascii="Titillium" w:hAnsi="Titillium" w:cs="Calibri"/>
          <w:bCs/>
          <w:iCs/>
          <w:sz w:val="18"/>
          <w:szCs w:val="18"/>
        </w:rPr>
        <w:t xml:space="preserve">elle </w:t>
      </w:r>
      <w:r w:rsidR="008816E2">
        <w:rPr>
          <w:rFonts w:ascii="Titillium" w:hAnsi="Titillium" w:cs="Calibri"/>
          <w:bCs/>
          <w:iCs/>
          <w:sz w:val="18"/>
          <w:szCs w:val="18"/>
        </w:rPr>
        <w:t xml:space="preserve">Linee guida </w:t>
      </w:r>
      <w:r>
        <w:rPr>
          <w:rFonts w:ascii="Titillium" w:hAnsi="Titillium" w:cs="Calibri"/>
          <w:bCs/>
          <w:iCs/>
          <w:sz w:val="18"/>
          <w:szCs w:val="18"/>
        </w:rPr>
        <w:t>dell’AGID</w:t>
      </w:r>
      <w:r w:rsidR="00301477">
        <w:rPr>
          <w:rFonts w:ascii="Titillium" w:hAnsi="Titillium" w:cs="Calibri"/>
          <w:bCs/>
          <w:iCs/>
          <w:sz w:val="18"/>
          <w:szCs w:val="18"/>
        </w:rPr>
        <w:t>.</w:t>
      </w:r>
      <w:r>
        <w:rPr>
          <w:rFonts w:ascii="Titillium" w:hAnsi="Titillium" w:cs="Calibri"/>
          <w:bCs/>
          <w:iCs/>
          <w:sz w:val="18"/>
          <w:szCs w:val="18"/>
        </w:rPr>
        <w:t xml:space="preserve"> </w:t>
      </w:r>
    </w:p>
    <w:p w14:paraId="59ADCF72" w14:textId="77777777" w:rsidR="00214C08" w:rsidRDefault="00214C08">
      <w:pPr>
        <w:pStyle w:val="Nessunaspaziatura"/>
        <w:tabs>
          <w:tab w:val="left" w:pos="567"/>
        </w:tabs>
        <w:spacing w:before="60" w:after="60"/>
        <w:rPr>
          <w:rFonts w:ascii="Titillium" w:hAnsi="Titillium" w:cs="Calibri"/>
          <w:bCs/>
          <w:iCs/>
          <w:sz w:val="18"/>
          <w:szCs w:val="18"/>
        </w:rPr>
      </w:pPr>
      <w:r w:rsidRPr="00214C08">
        <w:rPr>
          <w:rFonts w:ascii="Titillium" w:hAnsi="Titillium" w:cs="Calibri"/>
          <w:bCs/>
          <w:iCs/>
          <w:sz w:val="18"/>
          <w:szCs w:val="18"/>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14:paraId="38A2E7B2" w14:textId="565D7066" w:rsidR="004C53A8" w:rsidRDefault="00870286">
      <w:pPr>
        <w:pStyle w:val="Nessunaspaziatura"/>
        <w:tabs>
          <w:tab w:val="left" w:pos="567"/>
        </w:tabs>
        <w:spacing w:before="60" w:after="60"/>
      </w:pPr>
      <w:r>
        <w:rPr>
          <w:rFonts w:ascii="Titillium" w:hAnsi="Titillium" w:cs="Calibri"/>
          <w:bCs/>
          <w:iCs/>
          <w:sz w:val="18"/>
          <w:szCs w:val="18"/>
        </w:rPr>
        <w:t>L’utilizzo della Piattaforma avviene nel rispetto dei principi di autoresponsabilità e di diligenza professionale, secondo quanto previsto dall’articolo 1176, comma 2, del codice civile ed è regolato, tra gli altri, dai seguenti principi:</w:t>
      </w:r>
    </w:p>
    <w:p w14:paraId="5C9F6E5B"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parità di trattamento tra gli operatori economici;</w:t>
      </w:r>
    </w:p>
    <w:p w14:paraId="6B5978F7" w14:textId="77777777" w:rsidR="004C53A8" w:rsidRDefault="00870286" w:rsidP="0022153A">
      <w:pPr>
        <w:pStyle w:val="Default"/>
        <w:numPr>
          <w:ilvl w:val="1"/>
          <w:numId w:val="18"/>
        </w:numPr>
        <w:ind w:left="709"/>
      </w:pPr>
      <w:r>
        <w:rPr>
          <w:rFonts w:ascii="Titillium" w:eastAsia="Times New Roman" w:hAnsi="Titillium" w:cs="Calibri"/>
          <w:bCs/>
          <w:iCs/>
          <w:color w:val="auto"/>
          <w:sz w:val="18"/>
          <w:szCs w:val="18"/>
        </w:rPr>
        <w:t>trasparenza e tracciabilità delle operazioni;</w:t>
      </w:r>
    </w:p>
    <w:p w14:paraId="628288C0"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standardizzazione dei documenti; </w:t>
      </w:r>
    </w:p>
    <w:p w14:paraId="44C512AE"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comportamento secondo buona fede, ai sensi dell’articolo 1375 del codice civile; </w:t>
      </w:r>
    </w:p>
    <w:p w14:paraId="576A6A63"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lastRenderedPageBreak/>
        <w:t>comportamento secondo correttezza, ai sensi dell’articolo 1175 del codice civile;</w:t>
      </w:r>
    </w:p>
    <w:p w14:paraId="28803541" w14:textId="36FB05BD" w:rsidR="004C53A8" w:rsidRDefault="00870286" w:rsidP="0022153A">
      <w:pPr>
        <w:pStyle w:val="Default"/>
        <w:numPr>
          <w:ilvl w:val="1"/>
          <w:numId w:val="18"/>
        </w:numPr>
        <w:ind w:left="709"/>
      </w:pPr>
      <w:r>
        <w:rPr>
          <w:rFonts w:ascii="Titillium" w:eastAsia="Times New Roman" w:hAnsi="Titillium" w:cs="Calibri"/>
          <w:bCs/>
          <w:iCs/>
          <w:color w:val="auto"/>
          <w:sz w:val="18"/>
          <w:szCs w:val="18"/>
        </w:rPr>
        <w:t>segretezza delle offerte e loro immo</w:t>
      </w:r>
      <w:r w:rsidR="00301477">
        <w:rPr>
          <w:rFonts w:ascii="Titillium" w:eastAsia="Times New Roman" w:hAnsi="Titillium" w:cs="Calibri"/>
          <w:bCs/>
          <w:iCs/>
          <w:color w:val="auto"/>
          <w:sz w:val="18"/>
          <w:szCs w:val="18"/>
        </w:rPr>
        <w:t>d</w:t>
      </w:r>
      <w:r>
        <w:rPr>
          <w:rFonts w:ascii="Titillium" w:eastAsia="Times New Roman" w:hAnsi="Titillium" w:cs="Calibri"/>
          <w:bCs/>
          <w:iCs/>
          <w:color w:val="auto"/>
          <w:sz w:val="18"/>
          <w:szCs w:val="18"/>
        </w:rPr>
        <w:t>ificabilità una volt</w:t>
      </w:r>
      <w:r w:rsidR="00301477">
        <w:rPr>
          <w:rFonts w:ascii="Titillium" w:eastAsia="Times New Roman" w:hAnsi="Titillium" w:cs="Calibri"/>
          <w:bCs/>
          <w:iCs/>
          <w:color w:val="auto"/>
          <w:sz w:val="18"/>
          <w:szCs w:val="18"/>
        </w:rPr>
        <w:t>a</w:t>
      </w:r>
      <w:r>
        <w:rPr>
          <w:rFonts w:ascii="Titillium" w:eastAsia="Times New Roman" w:hAnsi="Titillium" w:cs="Calibri"/>
          <w:bCs/>
          <w:iCs/>
          <w:color w:val="auto"/>
          <w:sz w:val="18"/>
          <w:szCs w:val="18"/>
        </w:rPr>
        <w:t xml:space="preserve"> scaduto il termine di presentazione della domanda di partecipazione;</w:t>
      </w:r>
    </w:p>
    <w:p w14:paraId="4699C496" w14:textId="72A757C5"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gratuità. Nessun corrispettivo è dovuto dall’operatore economico e/o dall’aggiudicatario per il mero utilizzo della Piattaforma. </w:t>
      </w:r>
    </w:p>
    <w:p w14:paraId="7836E377" w14:textId="77777777" w:rsidR="00214C08" w:rsidRP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6CC15067" w14:textId="0D43F7A3" w:rsidR="00214C08" w:rsidRPr="00214C08" w:rsidRDefault="00214C08" w:rsidP="00D44232">
      <w:pPr>
        <w:pStyle w:val="Default"/>
        <w:numPr>
          <w:ilvl w:val="1"/>
          <w:numId w:val="18"/>
        </w:numPr>
        <w:ind w:left="709"/>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difetti di funzionamento delle apparecchiature e dei sistemi di collegamento e programmi impiegati dal singolo operatore economico per il collegamento alla Piattaforma;</w:t>
      </w:r>
    </w:p>
    <w:p w14:paraId="4F366924" w14:textId="5D7FD527" w:rsidR="00214C08" w:rsidRPr="00214C08" w:rsidRDefault="00214C08" w:rsidP="00D44232">
      <w:pPr>
        <w:pStyle w:val="Default"/>
        <w:numPr>
          <w:ilvl w:val="1"/>
          <w:numId w:val="18"/>
        </w:numPr>
        <w:ind w:left="709"/>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utilizzo della Piattaforma da parte dell’operatore economico in maniera non conforme al Disciplinare e a quanto previsto nel documento denominato … </w:t>
      </w:r>
      <w:r w:rsidRPr="00D44232">
        <w:rPr>
          <w:rFonts w:ascii="Titillium" w:eastAsia="Times New Roman" w:hAnsi="Titillium" w:cs="Calibri"/>
          <w:bCs/>
          <w:iCs/>
          <w:color w:val="auto"/>
          <w:sz w:val="18"/>
          <w:szCs w:val="18"/>
        </w:rPr>
        <w:t>[indicare il documento nel quale sono riportate tutte le prescrizioni tecnico-informatiche ad esempio Condizioni generali di utilizzo della Piattaforma</w:t>
      </w:r>
      <w:r w:rsidRPr="00FB243C">
        <w:rPr>
          <w:rFonts w:ascii="Titillium" w:eastAsia="Times New Roman" w:hAnsi="Titillium" w:cs="Calibri"/>
          <w:bCs/>
          <w:i/>
          <w:iCs/>
          <w:color w:val="auto"/>
          <w:sz w:val="18"/>
          <w:szCs w:val="18"/>
        </w:rPr>
        <w:t xml:space="preserve"> per gare telematiche].</w:t>
      </w:r>
    </w:p>
    <w:p w14:paraId="756C6F4E" w14:textId="77777777" w:rsidR="00214C08" w:rsidRP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alla seguente pagina … </w:t>
      </w:r>
      <w:r w:rsidRPr="00FB243C">
        <w:rPr>
          <w:rFonts w:ascii="Titillium" w:eastAsia="Times New Roman" w:hAnsi="Titillium" w:cs="Calibri"/>
          <w:bCs/>
          <w:i/>
          <w:iCs/>
          <w:color w:val="auto"/>
          <w:sz w:val="18"/>
          <w:szCs w:val="18"/>
        </w:rPr>
        <w:t>[indicare]</w:t>
      </w:r>
      <w:r w:rsidRPr="00214C08">
        <w:rPr>
          <w:rFonts w:ascii="Titillium" w:eastAsia="Times New Roman" w:hAnsi="Titillium" w:cs="Calibri"/>
          <w:bCs/>
          <w:iCs/>
          <w:color w:val="auto"/>
          <w:sz w:val="18"/>
          <w:szCs w:val="18"/>
        </w:rPr>
        <w:t xml:space="preserve"> dove sono accessibili i documenti di gara nonché attraverso ogni altro strumento ritenuto idoneo.</w:t>
      </w:r>
    </w:p>
    <w:p w14:paraId="18DF0D37" w14:textId="5BF6EC62" w:rsid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La stazione appaltante si riserva di agire in tal modo anche quando, esclusa la negligenza dell’operatore economico, non sia possibile accertare la causa del mancato funzionamento o del malfunzionamento.</w:t>
      </w:r>
    </w:p>
    <w:p w14:paraId="709E9902" w14:textId="7182C47D" w:rsidR="00074B74" w:rsidRPr="0083496B" w:rsidRDefault="00074B74" w:rsidP="00840480">
      <w:pPr>
        <w:tabs>
          <w:tab w:val="left" w:pos="567"/>
        </w:tabs>
        <w:spacing w:before="60" w:after="60"/>
        <w:rPr>
          <w:rFonts w:ascii="Titillium" w:hAnsi="Titillium" w:cs="Calibri"/>
          <w:bCs/>
          <w:iCs/>
          <w:sz w:val="18"/>
          <w:szCs w:val="18"/>
        </w:rPr>
      </w:pPr>
      <w:r>
        <w:rPr>
          <w:rFonts w:ascii="Titillium" w:hAnsi="Titillium" w:cs="Calibri"/>
          <w:b/>
          <w:bCs/>
          <w:i/>
          <w:sz w:val="18"/>
          <w:szCs w:val="18"/>
        </w:rPr>
        <w:t>[Fino all</w:t>
      </w:r>
      <w:r w:rsidR="000C113D">
        <w:rPr>
          <w:rFonts w:ascii="Titillium" w:hAnsi="Titillium" w:cs="Calibri"/>
          <w:b/>
          <w:bCs/>
          <w:i/>
          <w:sz w:val="18"/>
          <w:szCs w:val="18"/>
        </w:rPr>
        <w:t xml:space="preserve">a data di cui all’articolo 29 del decreto </w:t>
      </w:r>
      <w:r w:rsidR="00CA5865">
        <w:rPr>
          <w:rFonts w:ascii="Titillium" w:hAnsi="Titillium" w:cs="Calibri"/>
          <w:b/>
          <w:bCs/>
          <w:i/>
          <w:sz w:val="18"/>
          <w:szCs w:val="18"/>
        </w:rPr>
        <w:t xml:space="preserve">della Presidenza del Consiglio dei Ministri </w:t>
      </w:r>
      <w:r w:rsidR="000C113D">
        <w:rPr>
          <w:rFonts w:ascii="Titillium" w:hAnsi="Titillium" w:cs="Calibri"/>
          <w:b/>
          <w:bCs/>
          <w:i/>
          <w:sz w:val="18"/>
          <w:szCs w:val="18"/>
        </w:rPr>
        <w:t xml:space="preserve">n. 148/21 </w:t>
      </w:r>
      <w:r>
        <w:rPr>
          <w:rFonts w:ascii="Titillium" w:hAnsi="Titillium" w:cs="Calibri"/>
          <w:b/>
          <w:bCs/>
          <w:i/>
          <w:sz w:val="18"/>
          <w:szCs w:val="18"/>
        </w:rPr>
        <w:t>le stazioni appaltanti possono adeguare</w:t>
      </w:r>
      <w:r w:rsidR="006E6849">
        <w:rPr>
          <w:rFonts w:ascii="Titillium" w:hAnsi="Titillium" w:cs="Calibri"/>
          <w:b/>
          <w:bCs/>
          <w:i/>
          <w:sz w:val="18"/>
          <w:szCs w:val="18"/>
        </w:rPr>
        <w:t xml:space="preserve"> </w:t>
      </w:r>
      <w:r>
        <w:rPr>
          <w:rFonts w:ascii="Titillium" w:hAnsi="Titillium" w:cs="Calibri"/>
          <w:b/>
          <w:bCs/>
          <w:i/>
          <w:sz w:val="18"/>
          <w:szCs w:val="18"/>
        </w:rPr>
        <w:t>le clausole che seguono alle specifiche caratteristiche tecniche dell</w:t>
      </w:r>
      <w:r w:rsidR="00F73B02">
        <w:rPr>
          <w:rFonts w:ascii="Titillium" w:hAnsi="Titillium" w:cs="Calibri"/>
          <w:b/>
          <w:bCs/>
          <w:i/>
          <w:sz w:val="18"/>
          <w:szCs w:val="18"/>
        </w:rPr>
        <w:t>a</w:t>
      </w:r>
      <w:r>
        <w:rPr>
          <w:rFonts w:ascii="Titillium" w:hAnsi="Titillium" w:cs="Calibri"/>
          <w:b/>
          <w:bCs/>
          <w:i/>
          <w:sz w:val="18"/>
          <w:szCs w:val="18"/>
        </w:rPr>
        <w:t xml:space="preserve"> piattaform</w:t>
      </w:r>
      <w:r w:rsidR="00F73B02">
        <w:rPr>
          <w:rFonts w:ascii="Titillium" w:hAnsi="Titillium" w:cs="Calibri"/>
          <w:b/>
          <w:bCs/>
          <w:i/>
          <w:sz w:val="18"/>
          <w:szCs w:val="18"/>
        </w:rPr>
        <w:t>a</w:t>
      </w:r>
      <w:r>
        <w:rPr>
          <w:rFonts w:ascii="Titillium" w:hAnsi="Titillium" w:cs="Calibri"/>
          <w:b/>
          <w:bCs/>
          <w:i/>
          <w:sz w:val="18"/>
          <w:szCs w:val="18"/>
        </w:rPr>
        <w:t xml:space="preserve"> utilizzat</w:t>
      </w:r>
      <w:r w:rsidR="00F73B02">
        <w:rPr>
          <w:rFonts w:ascii="Titillium" w:hAnsi="Titillium" w:cs="Calibri"/>
          <w:b/>
          <w:bCs/>
          <w:i/>
          <w:sz w:val="18"/>
          <w:szCs w:val="18"/>
        </w:rPr>
        <w:t>a</w:t>
      </w:r>
      <w:r w:rsidR="006E6849">
        <w:rPr>
          <w:rFonts w:ascii="Titillium" w:hAnsi="Titillium" w:cs="Calibri"/>
          <w:b/>
          <w:bCs/>
          <w:i/>
          <w:sz w:val="18"/>
          <w:szCs w:val="18"/>
        </w:rPr>
        <w:t xml:space="preserve"> senza obbligo di motivazione</w:t>
      </w:r>
      <w:r w:rsidR="002E6022">
        <w:rPr>
          <w:rFonts w:ascii="Titillium" w:hAnsi="Titillium" w:cs="Calibri"/>
          <w:b/>
          <w:bCs/>
          <w:i/>
          <w:sz w:val="18"/>
          <w:szCs w:val="18"/>
        </w:rPr>
        <w:t>]</w:t>
      </w:r>
      <w:r w:rsidR="00840480">
        <w:rPr>
          <w:rFonts w:ascii="Titillium" w:hAnsi="Titillium" w:cs="Calibri"/>
          <w:b/>
          <w:bCs/>
          <w:i/>
          <w:sz w:val="18"/>
          <w:szCs w:val="18"/>
        </w:rPr>
        <w:t xml:space="preserve"> </w:t>
      </w:r>
      <w:r>
        <w:rPr>
          <w:rFonts w:ascii="Titillium" w:hAnsi="Titillium" w:cs="Calibri"/>
          <w:bCs/>
          <w:iCs/>
          <w:sz w:val="18"/>
          <w:szCs w:val="18"/>
        </w:rPr>
        <w:t xml:space="preserve">La </w:t>
      </w:r>
      <w:r w:rsidR="004E5474">
        <w:rPr>
          <w:rFonts w:ascii="Titillium" w:hAnsi="Titillium" w:cs="Calibri"/>
          <w:bCs/>
          <w:iCs/>
          <w:sz w:val="18"/>
          <w:szCs w:val="18"/>
        </w:rPr>
        <w:t>Piattaforma garantisce</w:t>
      </w:r>
      <w:r>
        <w:rPr>
          <w:rFonts w:ascii="Titillium" w:hAnsi="Titillium" w:cs="Calibri"/>
          <w:bCs/>
          <w:iCs/>
          <w:sz w:val="18"/>
          <w:szCs w:val="18"/>
        </w:rPr>
        <w:t xml:space="preserve"> l’integrità dei dati, la riservatezza delle offerte e delle domande di partecipazione. 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0F60DC63" w14:textId="79B5EF32" w:rsidR="00074B74" w:rsidRDefault="00074B74" w:rsidP="00074B74">
      <w:pPr>
        <w:pStyle w:val="Default"/>
        <w:tabs>
          <w:tab w:val="left" w:pos="567"/>
        </w:tabs>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Le attività e le operazioni effettuate nell'ambito della Piattaforma sono registrate e attribuite all’operatore economico e si intendono compiute nell’ora e nel giorno risultanti dalle registrazioni di sistema. </w:t>
      </w:r>
    </w:p>
    <w:p w14:paraId="11F382C8" w14:textId="6538381D" w:rsidR="00074B74" w:rsidRDefault="00074B74" w:rsidP="00074B74">
      <w:pPr>
        <w:pStyle w:val="Default"/>
        <w:tabs>
          <w:tab w:val="left" w:pos="567"/>
        </w:tabs>
      </w:pPr>
      <w:r>
        <w:rPr>
          <w:rFonts w:ascii="Titillium" w:eastAsia="Times New Roman" w:hAnsi="Titillium" w:cs="Calibri"/>
          <w:bCs/>
          <w:iCs/>
          <w:color w:val="auto"/>
          <w:sz w:val="18"/>
          <w:szCs w:val="18"/>
        </w:rPr>
        <w:t>Il sistema operativo della Piattaforma è sincronizzato sulla scala di tempo nazionale di cui al</w:t>
      </w:r>
      <w:r>
        <w:rPr>
          <w:rFonts w:ascii="Calibri" w:eastAsia="Times New Roman" w:hAnsi="Calibri" w:cs="Calibri"/>
          <w:bCs/>
          <w:iCs/>
          <w:color w:val="auto"/>
          <w:sz w:val="18"/>
          <w:szCs w:val="18"/>
        </w:rPr>
        <w:t> </w:t>
      </w:r>
      <w:r>
        <w:rPr>
          <w:rFonts w:ascii="Titillium" w:eastAsia="Times New Roman" w:hAnsi="Titillium" w:cs="Calibri"/>
          <w:bCs/>
          <w:iCs/>
          <w:color w:val="auto"/>
          <w:sz w:val="18"/>
          <w:szCs w:val="18"/>
        </w:rPr>
        <w:t>decreto del Ministro dell'industria, del commercio e dell'artigianato 30 novembre 1993, n. 591, tramite protocollo NTP o standard s</w:t>
      </w:r>
      <w:r w:rsidR="002E6022">
        <w:rPr>
          <w:rFonts w:ascii="Titillium" w:eastAsia="Times New Roman" w:hAnsi="Titillium" w:cs="Calibri"/>
          <w:bCs/>
          <w:iCs/>
          <w:color w:val="auto"/>
          <w:sz w:val="18"/>
          <w:szCs w:val="18"/>
        </w:rPr>
        <w:t>u</w:t>
      </w:r>
      <w:r>
        <w:rPr>
          <w:rFonts w:ascii="Titillium" w:eastAsia="Times New Roman" w:hAnsi="Titillium" w:cs="Calibri"/>
          <w:bCs/>
          <w:iCs/>
          <w:color w:val="auto"/>
          <w:sz w:val="18"/>
          <w:szCs w:val="18"/>
        </w:rPr>
        <w:t xml:space="preserve">periore. </w:t>
      </w:r>
    </w:p>
    <w:p w14:paraId="39D93739" w14:textId="7E910EB4" w:rsidR="004A1488" w:rsidRDefault="00074B74" w:rsidP="00840480">
      <w:pPr>
        <w:pStyle w:val="Default"/>
        <w:rPr>
          <w:rFonts w:ascii="Titillium" w:hAnsi="Titillium" w:cs="Calibri"/>
          <w:bCs/>
          <w:iCs/>
          <w:sz w:val="18"/>
          <w:szCs w:val="18"/>
        </w:rPr>
      </w:pPr>
      <w:r w:rsidRPr="001035D6">
        <w:rPr>
          <w:rFonts w:ascii="Titillium" w:hAnsi="Titillium" w:cs="Calibri"/>
          <w:b/>
          <w:bCs/>
          <w:i/>
          <w:sz w:val="18"/>
          <w:szCs w:val="18"/>
        </w:rPr>
        <w:t xml:space="preserve"> </w:t>
      </w:r>
      <w:r w:rsidR="007F3C85" w:rsidRPr="00840480">
        <w:rPr>
          <w:rFonts w:ascii="Titillium" w:hAnsi="Titillium" w:cs="Calibri"/>
          <w:b/>
          <w:bCs/>
          <w:i/>
          <w:iCs/>
          <w:sz w:val="18"/>
          <w:szCs w:val="18"/>
          <w:highlight w:val="white"/>
        </w:rPr>
        <w:t>[</w:t>
      </w:r>
      <w:r w:rsidR="00214C08" w:rsidRPr="00840480">
        <w:rPr>
          <w:rFonts w:ascii="Titillium" w:hAnsi="Titillium" w:cs="Calibri"/>
          <w:b/>
          <w:bCs/>
          <w:i/>
          <w:iCs/>
          <w:sz w:val="18"/>
          <w:szCs w:val="18"/>
          <w:highlight w:val="white"/>
        </w:rPr>
        <w:t>Eventuale</w:t>
      </w:r>
      <w:r w:rsidR="007F3C85" w:rsidRPr="00840480">
        <w:rPr>
          <w:rFonts w:ascii="Titillium" w:hAnsi="Titillium" w:cs="Calibri"/>
          <w:b/>
          <w:bCs/>
          <w:i/>
          <w:iCs/>
          <w:sz w:val="18"/>
          <w:szCs w:val="18"/>
          <w:highlight w:val="white"/>
        </w:rPr>
        <w:t>]</w:t>
      </w:r>
      <w:r w:rsidR="00840480">
        <w:rPr>
          <w:rFonts w:ascii="Titillium" w:hAnsi="Titillium" w:cs="Calibri"/>
          <w:b/>
          <w:bCs/>
          <w:iCs/>
          <w:sz w:val="18"/>
          <w:szCs w:val="18"/>
          <w:highlight w:val="white"/>
        </w:rPr>
        <w:t xml:space="preserve"> </w:t>
      </w:r>
      <w:r w:rsidR="004A1488" w:rsidRPr="004A1488">
        <w:rPr>
          <w:rFonts w:ascii="Titillium" w:hAnsi="Titillium" w:cs="Calibri"/>
          <w:bCs/>
          <w:iCs/>
          <w:sz w:val="18"/>
          <w:szCs w:val="18"/>
        </w:rPr>
        <w:t xml:space="preserve">L’utilizzo e il funzionamento della Piattaforma avvengono in conformità a quanto riportato nel </w:t>
      </w:r>
      <w:r w:rsidR="004A1488" w:rsidRPr="004A1488">
        <w:rPr>
          <w:rFonts w:ascii="Titillium" w:hAnsi="Titillium" w:cs="Calibri"/>
          <w:bCs/>
          <w:sz w:val="18"/>
          <w:szCs w:val="18"/>
        </w:rPr>
        <w:t>documento</w:t>
      </w:r>
      <w:r w:rsidR="004A1488" w:rsidRPr="004A1488">
        <w:rPr>
          <w:rFonts w:ascii="Titillium" w:hAnsi="Titillium" w:cs="Calibri"/>
          <w:bCs/>
          <w:i/>
          <w:iCs/>
          <w:sz w:val="18"/>
          <w:szCs w:val="18"/>
        </w:rPr>
        <w:t xml:space="preserve"> … [indicarne il nome ad esempio Condizioni generali di utilizzo della Piattaforma per gare telematiche o Regolamento tecnico]</w:t>
      </w:r>
      <w:r w:rsidR="004A1488" w:rsidRPr="004A1488">
        <w:rPr>
          <w:rFonts w:ascii="Titillium" w:hAnsi="Titillium" w:cs="Calibri"/>
          <w:bCs/>
          <w:iCs/>
          <w:sz w:val="18"/>
          <w:szCs w:val="18"/>
        </w:rPr>
        <w:t>, che costituisce parte integrante del presente disciplinare.</w:t>
      </w:r>
    </w:p>
    <w:p w14:paraId="14178DF4" w14:textId="4B7B948D" w:rsidR="004C53A8" w:rsidRDefault="00870286" w:rsidP="00860FE3">
      <w:pPr>
        <w:pStyle w:val="Default"/>
      </w:pPr>
      <w:r>
        <w:rPr>
          <w:rFonts w:ascii="Titillium" w:eastAsia="Times New Roman" w:hAnsi="Titillium" w:cs="Calibri"/>
          <w:bCs/>
          <w:iCs/>
          <w:color w:val="auto"/>
          <w:sz w:val="18"/>
          <w:szCs w:val="18"/>
        </w:rPr>
        <w:t>L’acquisto, l’installazione e la configurazione dell’</w:t>
      </w:r>
      <w:r>
        <w:rPr>
          <w:rFonts w:ascii="Titillium" w:eastAsia="Times New Roman" w:hAnsi="Titillium" w:cs="Calibri"/>
          <w:bCs/>
          <w:i/>
          <w:iCs/>
          <w:color w:val="auto"/>
          <w:sz w:val="18"/>
          <w:szCs w:val="18"/>
        </w:rPr>
        <w:t>hardware</w:t>
      </w:r>
      <w:r>
        <w:rPr>
          <w:rFonts w:ascii="Titillium" w:eastAsia="Times New Roman" w:hAnsi="Titillium" w:cs="Calibri"/>
          <w:bCs/>
          <w:iCs/>
          <w:color w:val="auto"/>
          <w:sz w:val="18"/>
          <w:szCs w:val="18"/>
        </w:rPr>
        <w:t xml:space="preserve">, del </w:t>
      </w:r>
      <w:r>
        <w:rPr>
          <w:rFonts w:ascii="Titillium" w:eastAsia="Times New Roman" w:hAnsi="Titillium" w:cs="Calibri"/>
          <w:bCs/>
          <w:i/>
          <w:iCs/>
          <w:color w:val="auto"/>
          <w:sz w:val="18"/>
          <w:szCs w:val="18"/>
        </w:rPr>
        <w:t>software</w:t>
      </w:r>
      <w:r>
        <w:rPr>
          <w:rFonts w:ascii="Titillium" w:eastAsia="Times New Roman" w:hAnsi="Titillium" w:cs="Calibri"/>
          <w:bCs/>
          <w:iCs/>
          <w:color w:val="auto"/>
          <w:sz w:val="18"/>
          <w:szCs w:val="18"/>
        </w:rPr>
        <w:t>, dei certificati digitali di firma, della casella di PEC</w:t>
      </w:r>
      <w:r w:rsidR="00925E37">
        <w:rPr>
          <w:rFonts w:ascii="Titillium" w:eastAsia="Times New Roman" w:hAnsi="Titillium" w:cs="Calibri"/>
          <w:bCs/>
          <w:iCs/>
          <w:color w:val="auto"/>
          <w:sz w:val="18"/>
          <w:szCs w:val="18"/>
        </w:rPr>
        <w:t xml:space="preserve"> o comunque di un indirizzo di servizio elettronico di recapito certificato qualificato</w:t>
      </w:r>
      <w:r>
        <w:rPr>
          <w:rFonts w:ascii="Titillium" w:eastAsia="Times New Roman" w:hAnsi="Titillium" w:cs="Calibri"/>
          <w:bCs/>
          <w:iCs/>
          <w:color w:val="auto"/>
          <w:sz w:val="18"/>
          <w:szCs w:val="18"/>
        </w:rPr>
        <w:t xml:space="preserve">, nonché dei collegamenti per l’accesso alla rete </w:t>
      </w:r>
      <w:r>
        <w:rPr>
          <w:rFonts w:ascii="Titillium" w:eastAsia="Times New Roman" w:hAnsi="Titillium" w:cs="Calibri"/>
          <w:bCs/>
          <w:i/>
          <w:iCs/>
          <w:color w:val="auto"/>
          <w:sz w:val="18"/>
          <w:szCs w:val="18"/>
        </w:rPr>
        <w:t>Internet</w:t>
      </w:r>
      <w:r>
        <w:rPr>
          <w:rFonts w:ascii="Titillium" w:eastAsia="Times New Roman" w:hAnsi="Titillium" w:cs="Calibri"/>
          <w:bCs/>
          <w:iCs/>
          <w:color w:val="auto"/>
          <w:sz w:val="18"/>
          <w:szCs w:val="18"/>
        </w:rPr>
        <w:t>, restano a esclusivo carico dell’operatore economico.</w:t>
      </w:r>
    </w:p>
    <w:p w14:paraId="66AD8CD9" w14:textId="3889B3A1" w:rsidR="004C53A8" w:rsidRDefault="00870286">
      <w:pPr>
        <w:pStyle w:val="Default"/>
        <w:tabs>
          <w:tab w:val="left" w:pos="567"/>
        </w:tabs>
      </w:pPr>
      <w:r>
        <w:rPr>
          <w:rFonts w:ascii="Titillium" w:eastAsia="Times New Roman" w:hAnsi="Titillium" w:cs="Calibri"/>
          <w:bCs/>
          <w:iCs/>
          <w:color w:val="auto"/>
          <w:sz w:val="18"/>
          <w:szCs w:val="18"/>
        </w:rPr>
        <w:t xml:space="preserve">La Piattaforma è accessibile da … </w:t>
      </w:r>
      <w:r>
        <w:rPr>
          <w:rFonts w:ascii="Titillium" w:eastAsia="Times New Roman" w:hAnsi="Titillium" w:cs="Calibri"/>
          <w:bCs/>
          <w:i/>
          <w:iCs/>
          <w:color w:val="auto"/>
          <w:sz w:val="18"/>
          <w:szCs w:val="18"/>
        </w:rPr>
        <w:t xml:space="preserve">[indicare quando è accessibile la Piattaforma, ad esempio sempre oppure dal lunedì al venerdì dalle ore 8:00 alle ore 20:00 festivi esclusi oppure ogni giorno dalle 8:00 alle 20:00 oppure in qualsiasi orario dalla data di pubblicazione del bando alla data di scadenza del termine di presentazione delle offerte]. </w:t>
      </w:r>
    </w:p>
    <w:p w14:paraId="38E0EBA9" w14:textId="77777777" w:rsidR="000C70DE" w:rsidRDefault="000C70DE">
      <w:pPr>
        <w:pStyle w:val="Default"/>
        <w:rPr>
          <w:rFonts w:ascii="Titillium" w:eastAsia="Times New Roman" w:hAnsi="Titillium" w:cs="Calibri"/>
          <w:bCs/>
          <w:iCs/>
          <w:sz w:val="18"/>
          <w:szCs w:val="18"/>
        </w:rPr>
      </w:pPr>
    </w:p>
    <w:p w14:paraId="2ACAF99F" w14:textId="68C53073" w:rsidR="004C53A8" w:rsidRDefault="004C667D">
      <w:pPr>
        <w:pStyle w:val="Titolo3"/>
        <w:numPr>
          <w:ilvl w:val="1"/>
          <w:numId w:val="4"/>
        </w:numPr>
        <w:ind w:left="426" w:hanging="426"/>
        <w:rPr>
          <w:rFonts w:ascii="Titillium" w:hAnsi="Titillium"/>
          <w:iCs/>
          <w:sz w:val="18"/>
          <w:szCs w:val="18"/>
        </w:rPr>
      </w:pPr>
      <w:bookmarkStart w:id="138" w:name="_Toc7655658811111"/>
      <w:bookmarkStart w:id="139" w:name="_Toc7655652711111"/>
      <w:bookmarkStart w:id="140" w:name="_Toc7655646611111"/>
      <w:bookmarkStart w:id="141" w:name="_Toc7655640511111"/>
      <w:bookmarkStart w:id="142" w:name="_Toc763991861111111111111111111111"/>
      <w:bookmarkStart w:id="143" w:name="_Toc7655658911111"/>
      <w:bookmarkStart w:id="144" w:name="_Toc7655652811111"/>
      <w:bookmarkStart w:id="145" w:name="_Toc7655646711111"/>
      <w:bookmarkStart w:id="146" w:name="_Toc7655640611111"/>
      <w:bookmarkStart w:id="147" w:name="_Toc763991871111111111111111111111"/>
      <w:bookmarkStart w:id="148" w:name="_Toc7655659011111"/>
      <w:bookmarkStart w:id="149" w:name="_Toc7655652911111"/>
      <w:bookmarkStart w:id="150" w:name="_Toc7655646811111"/>
      <w:bookmarkStart w:id="151" w:name="_Toc7655640711111"/>
      <w:bookmarkStart w:id="152" w:name="_Toc763991881111111111111111111111"/>
      <w:bookmarkStart w:id="153" w:name="_Toc7655659111111"/>
      <w:bookmarkStart w:id="154" w:name="_Toc7655653011111"/>
      <w:bookmarkStart w:id="155" w:name="_Toc7655646911111"/>
      <w:bookmarkStart w:id="156" w:name="_Toc7655640811111"/>
      <w:bookmarkStart w:id="157" w:name="_Toc763991891111111111111111111111"/>
      <w:bookmarkStart w:id="158" w:name="_Toc9549587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Titillium" w:hAnsi="Titillium"/>
          <w:iCs/>
          <w:caps w:val="0"/>
          <w:sz w:val="18"/>
          <w:szCs w:val="18"/>
        </w:rPr>
        <w:t>DOTAZIONI TECNICHE</w:t>
      </w:r>
      <w:bookmarkEnd w:id="158"/>
    </w:p>
    <w:p w14:paraId="47D715F0" w14:textId="3B35A9F8" w:rsidR="004C53A8" w:rsidRDefault="00870286">
      <w:pPr>
        <w:tabs>
          <w:tab w:val="left" w:pos="709"/>
        </w:tabs>
        <w:spacing w:before="60" w:after="60"/>
      </w:pPr>
      <w:r>
        <w:rPr>
          <w:rFonts w:ascii="Titillium" w:hAnsi="Titillium" w:cs="Calibri"/>
          <w:bCs/>
          <w:color w:val="000000"/>
          <w:sz w:val="18"/>
          <w:szCs w:val="18"/>
          <w:highlight w:val="white"/>
        </w:rPr>
        <w:t xml:space="preserve">Ai fini della partecipazione alla presente procedura, ogni operatore economico deve dotarsi, a propria cura, spesa e responsabilità della strumentazione tecnica ed informatica </w:t>
      </w:r>
      <w:r w:rsidR="0043729D">
        <w:rPr>
          <w:rFonts w:ascii="Titillium" w:hAnsi="Titillium" w:cs="Calibri"/>
          <w:bCs/>
          <w:color w:val="000000"/>
          <w:sz w:val="18"/>
          <w:szCs w:val="18"/>
          <w:highlight w:val="white"/>
        </w:rPr>
        <w:t xml:space="preserve">conforme a quella </w:t>
      </w:r>
      <w:r>
        <w:rPr>
          <w:rFonts w:ascii="Titillium" w:hAnsi="Titillium" w:cs="Calibri"/>
          <w:bCs/>
          <w:color w:val="000000"/>
          <w:sz w:val="18"/>
          <w:szCs w:val="18"/>
          <w:highlight w:val="white"/>
        </w:rPr>
        <w:t>indicata nel presente disciplinare e nel docume</w:t>
      </w:r>
      <w:r w:rsidR="000C344B">
        <w:rPr>
          <w:rFonts w:ascii="Titillium" w:hAnsi="Titillium" w:cs="Calibri"/>
          <w:bCs/>
          <w:color w:val="000000"/>
          <w:sz w:val="18"/>
          <w:szCs w:val="18"/>
          <w:highlight w:val="white"/>
        </w:rPr>
        <w:t>n</w:t>
      </w:r>
      <w:r>
        <w:rPr>
          <w:rFonts w:ascii="Titillium" w:hAnsi="Titillium" w:cs="Calibri"/>
          <w:bCs/>
          <w:color w:val="000000"/>
          <w:sz w:val="18"/>
          <w:szCs w:val="18"/>
          <w:highlight w:val="white"/>
        </w:rPr>
        <w:t xml:space="preserve">to …  </w:t>
      </w:r>
      <w:r>
        <w:rPr>
          <w:rFonts w:ascii="Titillium" w:hAnsi="Titillium" w:cs="Calibri"/>
          <w:bCs/>
          <w:i/>
          <w:iCs/>
          <w:color w:val="000000"/>
          <w:sz w:val="18"/>
          <w:szCs w:val="18"/>
          <w:highlight w:val="white"/>
        </w:rPr>
        <w:t>[indicarne il nome ad esempio Condizioni generali di utilizzo della Piattaforma per gare telematiche o Regolamento tecnico]</w:t>
      </w:r>
      <w:r>
        <w:rPr>
          <w:rFonts w:ascii="Titillium" w:hAnsi="Titillium" w:cs="Calibri"/>
          <w:bCs/>
          <w:iCs/>
          <w:color w:val="000000"/>
          <w:sz w:val="18"/>
          <w:szCs w:val="18"/>
          <w:highlight w:val="white"/>
        </w:rPr>
        <w:t>, che d</w:t>
      </w:r>
      <w:r w:rsidR="000C344B">
        <w:rPr>
          <w:rFonts w:ascii="Titillium" w:hAnsi="Titillium" w:cs="Calibri"/>
          <w:bCs/>
          <w:iCs/>
          <w:color w:val="000000"/>
          <w:sz w:val="18"/>
          <w:szCs w:val="18"/>
          <w:highlight w:val="white"/>
        </w:rPr>
        <w:t>i</w:t>
      </w:r>
      <w:r>
        <w:rPr>
          <w:rFonts w:ascii="Titillium" w:hAnsi="Titillium" w:cs="Calibri"/>
          <w:bCs/>
          <w:iCs/>
          <w:color w:val="000000"/>
          <w:sz w:val="18"/>
          <w:szCs w:val="18"/>
          <w:highlight w:val="white"/>
        </w:rPr>
        <w:t>sciplina il fu</w:t>
      </w:r>
      <w:r w:rsidR="000C344B">
        <w:rPr>
          <w:rFonts w:ascii="Titillium" w:hAnsi="Titillium" w:cs="Calibri"/>
          <w:bCs/>
          <w:iCs/>
          <w:color w:val="000000"/>
          <w:sz w:val="18"/>
          <w:szCs w:val="18"/>
          <w:highlight w:val="white"/>
        </w:rPr>
        <w:t>n</w:t>
      </w:r>
      <w:r>
        <w:rPr>
          <w:rFonts w:ascii="Titillium" w:hAnsi="Titillium" w:cs="Calibri"/>
          <w:bCs/>
          <w:iCs/>
          <w:color w:val="000000"/>
          <w:sz w:val="18"/>
          <w:szCs w:val="18"/>
          <w:highlight w:val="white"/>
        </w:rPr>
        <w:t>zionamento e l’utilizzo della Piattaforma</w:t>
      </w:r>
      <w:r w:rsidRPr="000C344B">
        <w:rPr>
          <w:rFonts w:ascii="Titillium" w:hAnsi="Titillium" w:cs="Calibri"/>
          <w:bCs/>
          <w:color w:val="000000"/>
          <w:sz w:val="18"/>
          <w:szCs w:val="18"/>
        </w:rPr>
        <w:t>.</w:t>
      </w:r>
    </w:p>
    <w:p w14:paraId="2171757A" w14:textId="77777777" w:rsidR="004C53A8" w:rsidRPr="001F3065" w:rsidRDefault="00870286">
      <w:pPr>
        <w:tabs>
          <w:tab w:val="left" w:pos="709"/>
        </w:tabs>
        <w:spacing w:before="60" w:after="60"/>
        <w:rPr>
          <w:rFonts w:ascii="Titillium" w:hAnsi="Titillium" w:cs="Calibri"/>
          <w:bCs/>
          <w:color w:val="000000"/>
          <w:sz w:val="18"/>
          <w:szCs w:val="18"/>
          <w:highlight w:val="white"/>
        </w:rPr>
      </w:pPr>
      <w:r>
        <w:rPr>
          <w:rFonts w:ascii="Titillium" w:hAnsi="Titillium" w:cs="Calibri"/>
          <w:bCs/>
          <w:color w:val="000000"/>
          <w:sz w:val="18"/>
          <w:szCs w:val="18"/>
          <w:highlight w:val="white"/>
        </w:rPr>
        <w:lastRenderedPageBreak/>
        <w:t>In og</w:t>
      </w:r>
      <w:r w:rsidRPr="001F3065">
        <w:rPr>
          <w:rFonts w:ascii="Titillium" w:hAnsi="Titillium" w:cs="Calibri"/>
          <w:bCs/>
          <w:color w:val="000000"/>
          <w:sz w:val="18"/>
          <w:szCs w:val="18"/>
          <w:highlight w:val="white"/>
        </w:rPr>
        <w:t>ni caso è indispensabile:</w:t>
      </w:r>
    </w:p>
    <w:p w14:paraId="18B48245" w14:textId="44963571" w:rsidR="004C53A8" w:rsidRPr="001F3065" w:rsidRDefault="00870286"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disporre almeno di un personal computer conforme agli standard aggiornati di mercato, con connessione</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 xml:space="preserve">internet e dotato di un comune browser idoneo ad operare in modo corretto sulla Piattaforma; </w:t>
      </w:r>
    </w:p>
    <w:p w14:paraId="5FF64657" w14:textId="4997473F" w:rsidR="004C53A8" w:rsidRPr="001F3065" w:rsidRDefault="0033206E"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Pr>
          <w:rFonts w:ascii="Titillium" w:eastAsia="Times New Roman" w:hAnsi="Titillium" w:cs="Calibri"/>
          <w:bCs/>
          <w:sz w:val="18"/>
          <w:szCs w:val="18"/>
          <w:highlight w:val="white"/>
          <w:lang w:eastAsia="en-US"/>
        </w:rPr>
        <w:t>disporre di un</w:t>
      </w:r>
      <w:r w:rsidR="00487C8A">
        <w:rPr>
          <w:rFonts w:ascii="Titillium" w:eastAsia="Times New Roman" w:hAnsi="Titillium" w:cs="Calibri"/>
          <w:bCs/>
          <w:sz w:val="18"/>
          <w:szCs w:val="18"/>
          <w:highlight w:val="white"/>
          <w:lang w:eastAsia="en-US"/>
        </w:rPr>
        <w:t xml:space="preserve"> s</w:t>
      </w:r>
      <w:r w:rsidR="009C6153" w:rsidRPr="009C6153">
        <w:rPr>
          <w:rFonts w:ascii="Titillium" w:eastAsia="Times New Roman" w:hAnsi="Titillium" w:cs="Calibri"/>
          <w:bCs/>
          <w:sz w:val="18"/>
          <w:szCs w:val="18"/>
          <w:highlight w:val="white"/>
          <w:lang w:eastAsia="en-US"/>
        </w:rPr>
        <w:t xml:space="preserve">istema pubblico per la gestione dell’identità digitale (SPID) di cui all’articolo 64 del decreto legislativo 7 marzo 2005, n. 82 o </w:t>
      </w:r>
      <w:r w:rsidR="00870286" w:rsidRPr="001F3065">
        <w:rPr>
          <w:rFonts w:ascii="Titillium" w:eastAsia="Times New Roman" w:hAnsi="Titillium" w:cs="Calibri"/>
          <w:bCs/>
          <w:sz w:val="18"/>
          <w:szCs w:val="18"/>
          <w:highlight w:val="white"/>
          <w:lang w:eastAsia="en-US"/>
        </w:rPr>
        <w:t>di altri mezzi di identificazione elettronica per il riconoscimento reciproco transfrontaliero ai sensi del Regolamento eIDAS;</w:t>
      </w:r>
    </w:p>
    <w:p w14:paraId="05F55711" w14:textId="627949A7"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avere un </w:t>
      </w:r>
      <w:r w:rsidR="001F64AE">
        <w:rPr>
          <w:rFonts w:ascii="Titillium" w:eastAsia="Times New Roman" w:hAnsi="Titillium" w:cs="Calibri"/>
          <w:bCs/>
          <w:sz w:val="18"/>
          <w:szCs w:val="18"/>
          <w:highlight w:val="white"/>
          <w:lang w:eastAsia="en-US"/>
        </w:rPr>
        <w:t>domicilio digitale presente negli indici di cui agli articol</w:t>
      </w:r>
      <w:r w:rsidR="005E3851">
        <w:rPr>
          <w:rFonts w:ascii="Titillium" w:eastAsia="Times New Roman" w:hAnsi="Titillium" w:cs="Calibri"/>
          <w:bCs/>
          <w:sz w:val="18"/>
          <w:szCs w:val="18"/>
          <w:highlight w:val="white"/>
          <w:lang w:eastAsia="en-US"/>
        </w:rPr>
        <w:t>i</w:t>
      </w:r>
      <w:r w:rsidR="001F64AE">
        <w:rPr>
          <w:rFonts w:ascii="Titillium" w:eastAsia="Times New Roman" w:hAnsi="Titillium" w:cs="Calibri"/>
          <w:bCs/>
          <w:sz w:val="18"/>
          <w:szCs w:val="18"/>
          <w:highlight w:val="white"/>
          <w:lang w:eastAsia="en-US"/>
        </w:rPr>
        <w:t xml:space="preserve"> 6-bis e 6 ter del </w:t>
      </w:r>
      <w:r w:rsidR="001F64AE" w:rsidRPr="009C6153">
        <w:rPr>
          <w:rFonts w:ascii="Titillium" w:eastAsia="Times New Roman" w:hAnsi="Titillium" w:cs="Calibri"/>
          <w:bCs/>
          <w:sz w:val="18"/>
          <w:szCs w:val="18"/>
          <w:highlight w:val="white"/>
          <w:lang w:eastAsia="en-US"/>
        </w:rPr>
        <w:t xml:space="preserve">decreto legislativo 7 marzo 2005, n. 82 </w:t>
      </w:r>
      <w:r w:rsidRPr="001F3065">
        <w:rPr>
          <w:rFonts w:ascii="Titillium" w:eastAsia="Times New Roman" w:hAnsi="Titillium" w:cs="Calibri"/>
          <w:bCs/>
          <w:sz w:val="18"/>
          <w:szCs w:val="18"/>
          <w:highlight w:val="white"/>
          <w:lang w:eastAsia="en-US"/>
        </w:rPr>
        <w:t>o, per l’operatore economico transfrontaliero,</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un indirizzo di servizio elettronico di recapito certificato qualificato ai sensi del Regolamento eIDAS;</w:t>
      </w:r>
    </w:p>
    <w:p w14:paraId="3019EA63" w14:textId="77777777"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avere da parte del legale rappresentante dell’operatore economico (o da persona munita di idonei poteri di firma) un certificato di firma digitale, in corso di validità, rilasciato da:</w:t>
      </w:r>
    </w:p>
    <w:p w14:paraId="6D41AF2E" w14:textId="0B982992"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organismo incluso nell’elenco pubblico dei certificatori tenuto dall’Agenzia per l’Italia Digitale (previsto dall’articolo 29 del decreto legislativo n. 82/05); </w:t>
      </w:r>
    </w:p>
    <w:p w14:paraId="0BEA620A" w14:textId="77777777"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certificatore operante in base a una licenza o autorizzazione rilasciata da uno Stato membro dell’Unione europea e in possesso dei requisiti previsti dal Regolamento n. 910/14; </w:t>
      </w:r>
    </w:p>
    <w:p w14:paraId="39BFC385" w14:textId="77777777" w:rsidR="004C53A8" w:rsidRDefault="00870286" w:rsidP="0022153A">
      <w:pPr>
        <w:pStyle w:val="Default"/>
        <w:numPr>
          <w:ilvl w:val="1"/>
          <w:numId w:val="18"/>
        </w:numPr>
        <w:tabs>
          <w:tab w:val="left" w:pos="360"/>
        </w:tabs>
        <w:ind w:left="1134"/>
      </w:pPr>
      <w:r w:rsidRPr="001F3065">
        <w:rPr>
          <w:rFonts w:ascii="Titillium" w:eastAsia="Times New Roman" w:hAnsi="Titillium" w:cs="Calibri"/>
          <w:bCs/>
          <w:sz w:val="18"/>
          <w:szCs w:val="18"/>
          <w:highlight w:val="white"/>
          <w:lang w:eastAsia="en-US"/>
        </w:rPr>
        <w:t>un certificatore stabilito in uno Stato non facente parte dell’Unione europea quando ricorre una delle seguenti condizioni</w:t>
      </w:r>
      <w:r>
        <w:rPr>
          <w:rFonts w:ascii="Titillium" w:eastAsia="Times New Roman" w:hAnsi="Titillium" w:cs="Calibri"/>
          <w:bCs/>
          <w:iCs/>
          <w:sz w:val="18"/>
          <w:szCs w:val="18"/>
          <w:highlight w:val="white"/>
        </w:rPr>
        <w:t xml:space="preserve">: </w:t>
      </w:r>
    </w:p>
    <w:p w14:paraId="0CBC8D67" w14:textId="77777777" w:rsidR="004C53A8" w:rsidRDefault="00870286" w:rsidP="00601972">
      <w:pPr>
        <w:pStyle w:val="Default"/>
        <w:numPr>
          <w:ilvl w:val="0"/>
          <w:numId w:val="41"/>
        </w:numPr>
      </w:pPr>
      <w:r>
        <w:rPr>
          <w:rFonts w:ascii="Titillium" w:eastAsia="Times New Roman" w:hAnsi="Titillium" w:cs="Calibri"/>
          <w:bCs/>
          <w:iCs/>
          <w:sz w:val="18"/>
          <w:szCs w:val="18"/>
          <w:highlight w:val="white"/>
        </w:rPr>
        <w:t xml:space="preserve">il certificatore possiede i requisiti previsti dal Regolamento </w:t>
      </w:r>
      <w:r>
        <w:rPr>
          <w:rFonts w:ascii="Titillium" w:hAnsi="Titillium" w:cs="Calibri"/>
          <w:bCs/>
          <w:iCs/>
          <w:sz w:val="18"/>
          <w:szCs w:val="18"/>
        </w:rPr>
        <w:t xml:space="preserve">n. 910/14 </w:t>
      </w:r>
      <w:r>
        <w:rPr>
          <w:rFonts w:ascii="Titillium" w:eastAsia="Times New Roman" w:hAnsi="Titillium" w:cs="Calibri"/>
          <w:bCs/>
          <w:iCs/>
          <w:sz w:val="18"/>
          <w:szCs w:val="18"/>
          <w:highlight w:val="white"/>
        </w:rPr>
        <w:t xml:space="preserve">ed è qualificato in uno stato membro; </w:t>
      </w:r>
    </w:p>
    <w:p w14:paraId="388951DB" w14:textId="77777777"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è garantito da un certificatore stabilito nell’Unione Europea, in possesso dei requisiti di cui al regolamento n. 910014; </w:t>
      </w:r>
    </w:p>
    <w:p w14:paraId="07160332" w14:textId="1F623BBA"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o il certificatore, è riconosciuto in forza di un accordo bilaterale o multilaterale tra l’Unione Europea e paesi terzi o organizzazioni internazionali. </w:t>
      </w:r>
    </w:p>
    <w:p w14:paraId="169A14EE" w14:textId="54BD9164" w:rsidR="00373F22" w:rsidRDefault="00373F22" w:rsidP="00373F22">
      <w:pPr>
        <w:pStyle w:val="Default"/>
        <w:rPr>
          <w:rFonts w:ascii="Titillium" w:eastAsia="Times New Roman" w:hAnsi="Titillium" w:cs="Calibri"/>
          <w:bCs/>
          <w:iCs/>
          <w:sz w:val="18"/>
          <w:szCs w:val="18"/>
          <w:highlight w:val="white"/>
        </w:rPr>
      </w:pPr>
    </w:p>
    <w:p w14:paraId="7B60BC5B" w14:textId="57BE2767" w:rsidR="004C53A8" w:rsidRDefault="004C667D">
      <w:pPr>
        <w:pStyle w:val="Titolo3"/>
        <w:numPr>
          <w:ilvl w:val="1"/>
          <w:numId w:val="4"/>
        </w:numPr>
        <w:ind w:left="426" w:hanging="426"/>
        <w:rPr>
          <w:rFonts w:ascii="Titillium" w:hAnsi="Titillium"/>
          <w:iCs/>
          <w:sz w:val="18"/>
          <w:szCs w:val="18"/>
        </w:rPr>
      </w:pPr>
      <w:bookmarkStart w:id="159" w:name="_Toc95495876"/>
      <w:r>
        <w:rPr>
          <w:rFonts w:ascii="Titillium" w:hAnsi="Titillium"/>
          <w:iCs/>
          <w:caps w:val="0"/>
          <w:sz w:val="18"/>
          <w:szCs w:val="18"/>
        </w:rPr>
        <w:t>IDENTIFICAZIONE</w:t>
      </w:r>
      <w:bookmarkEnd w:id="159"/>
    </w:p>
    <w:p w14:paraId="0A5CA943" w14:textId="77777777" w:rsidR="001F3065" w:rsidRDefault="00870286">
      <w:pPr>
        <w:rPr>
          <w:rFonts w:ascii="Titillium" w:hAnsi="Titillium" w:cs="Calibri"/>
          <w:bCs/>
          <w:iCs/>
          <w:sz w:val="18"/>
          <w:szCs w:val="18"/>
        </w:rPr>
      </w:pPr>
      <w:r>
        <w:rPr>
          <w:rFonts w:ascii="Titillium" w:hAnsi="Titillium" w:cs="Calibri"/>
          <w:bCs/>
          <w:iCs/>
          <w:sz w:val="18"/>
          <w:szCs w:val="18"/>
        </w:rPr>
        <w:t>Per poter presentare offerta è necessario accedere alla Piattaforma.</w:t>
      </w:r>
    </w:p>
    <w:p w14:paraId="65613AAB" w14:textId="77777777" w:rsidR="001F3065" w:rsidRDefault="00870286">
      <w:pPr>
        <w:rPr>
          <w:rFonts w:ascii="Titillium" w:hAnsi="Titillium"/>
          <w:sz w:val="18"/>
          <w:szCs w:val="18"/>
        </w:rPr>
      </w:pPr>
      <w:r>
        <w:rPr>
          <w:rFonts w:ascii="Titillium" w:hAnsi="Titillium"/>
          <w:sz w:val="18"/>
          <w:szCs w:val="18"/>
        </w:rPr>
        <w:t xml:space="preserve">L’accesso è gratuito ed è consentito a seguito dell’identificazione </w:t>
      </w:r>
      <w:r>
        <w:rPr>
          <w:rFonts w:ascii="Titillium" w:hAnsi="Titillium" w:cs="Calibri"/>
          <w:bCs/>
          <w:iCs/>
          <w:sz w:val="18"/>
          <w:szCs w:val="18"/>
        </w:rPr>
        <w:t>online</w:t>
      </w:r>
      <w:r>
        <w:rPr>
          <w:rFonts w:ascii="Titillium Web" w:hAnsi="Titillium Web"/>
          <w:color w:val="00264C"/>
          <w:sz w:val="22"/>
          <w:szCs w:val="18"/>
        </w:rPr>
        <w:t xml:space="preserve"> </w:t>
      </w:r>
      <w:r>
        <w:rPr>
          <w:rFonts w:ascii="Titillium" w:hAnsi="Titillium"/>
          <w:sz w:val="18"/>
          <w:szCs w:val="18"/>
        </w:rPr>
        <w:t xml:space="preserve">dell’operatore economico. </w:t>
      </w:r>
    </w:p>
    <w:p w14:paraId="4926EE4A" w14:textId="11642848" w:rsidR="004C53A8" w:rsidRDefault="00870286">
      <w:r>
        <w:rPr>
          <w:rFonts w:ascii="Titillium" w:hAnsi="Titillium"/>
          <w:sz w:val="18"/>
          <w:szCs w:val="18"/>
        </w:rPr>
        <w:t xml:space="preserve">L’identificazione avviene </w:t>
      </w:r>
      <w:r w:rsidR="006517D3">
        <w:rPr>
          <w:rFonts w:ascii="Titillium" w:hAnsi="Titillium"/>
          <w:sz w:val="18"/>
          <w:szCs w:val="18"/>
        </w:rPr>
        <w:t xml:space="preserve">o </w:t>
      </w:r>
      <w:r>
        <w:rPr>
          <w:rFonts w:ascii="Titillium" w:hAnsi="Titillium"/>
          <w:sz w:val="18"/>
          <w:szCs w:val="18"/>
        </w:rPr>
        <w:t xml:space="preserve">mediante </w:t>
      </w:r>
      <w:r w:rsidR="009651A3">
        <w:rPr>
          <w:rFonts w:ascii="Titillium" w:hAnsi="Titillium"/>
          <w:sz w:val="18"/>
          <w:szCs w:val="18"/>
        </w:rPr>
        <w:t>i</w:t>
      </w:r>
      <w:r w:rsidR="009651A3" w:rsidRPr="009651A3">
        <w:rPr>
          <w:rFonts w:ascii="Titillium" w:hAnsi="Titillium"/>
          <w:sz w:val="18"/>
          <w:szCs w:val="18"/>
        </w:rPr>
        <w:t>l sistema pubblico per la gestione dell’identità digitale di cittadini e imprese (SPID</w:t>
      </w:r>
      <w:r w:rsidR="009C6153">
        <w:rPr>
          <w:rFonts w:ascii="Titillium" w:hAnsi="Titillium"/>
          <w:sz w:val="18"/>
          <w:szCs w:val="18"/>
        </w:rPr>
        <w:t>)</w:t>
      </w:r>
      <w:r w:rsidR="009651A3" w:rsidRPr="009651A3">
        <w:rPr>
          <w:rFonts w:ascii="Titillium" w:hAnsi="Titillium"/>
          <w:sz w:val="18"/>
          <w:szCs w:val="18"/>
        </w:rPr>
        <w:t xml:space="preserve"> o </w:t>
      </w:r>
      <w:r>
        <w:rPr>
          <w:rFonts w:ascii="Titillium" w:hAnsi="Titillium"/>
          <w:sz w:val="18"/>
          <w:szCs w:val="18"/>
        </w:rPr>
        <w:t>attraverso gli altri mezzi di identificazione elettronica per il riconoscimento reciproco transfrontaliero ai sensi del Regolamento eIDAS.</w:t>
      </w:r>
    </w:p>
    <w:p w14:paraId="75905C3B" w14:textId="77777777" w:rsidR="004C53A8" w:rsidRDefault="00870286">
      <w:pPr>
        <w:pStyle w:val="Default"/>
        <w:tabs>
          <w:tab w:val="left" w:pos="0"/>
        </w:tabs>
        <w:spacing w:before="60" w:after="60"/>
        <w:rPr>
          <w:rFonts w:ascii="Titillium" w:hAnsi="Titillium"/>
          <w:sz w:val="18"/>
          <w:szCs w:val="18"/>
        </w:rPr>
      </w:pPr>
      <w:r>
        <w:rPr>
          <w:rFonts w:ascii="Titillium" w:hAnsi="Titillium"/>
          <w:sz w:val="18"/>
          <w:szCs w:val="18"/>
        </w:rPr>
        <w:t xml:space="preserve">Una volta completata la procedura di identificazione, ad ogni operatore economico identificato viene attribuito un profilo da utilizzare nella procedura di gara. </w:t>
      </w:r>
    </w:p>
    <w:p w14:paraId="7B04A890" w14:textId="07C90F31" w:rsidR="004C53A8" w:rsidRPr="001035D6" w:rsidRDefault="008F2434">
      <w:pPr>
        <w:tabs>
          <w:tab w:val="left" w:pos="0"/>
        </w:tabs>
        <w:spacing w:before="60" w:after="60"/>
        <w:rPr>
          <w:i/>
        </w:rPr>
      </w:pPr>
      <w:r w:rsidRPr="00FF0BFA">
        <w:rPr>
          <w:rFonts w:ascii="Titillium" w:hAnsi="Titillium" w:cs="Calibri"/>
          <w:b/>
          <w:i/>
          <w:sz w:val="18"/>
          <w:szCs w:val="18"/>
        </w:rPr>
        <w:t>[F</w:t>
      </w:r>
      <w:r w:rsidR="00BA1078" w:rsidRPr="00FF0BFA">
        <w:rPr>
          <w:rFonts w:ascii="Titillium" w:hAnsi="Titillium" w:cs="Calibri"/>
          <w:b/>
          <w:i/>
          <w:sz w:val="18"/>
          <w:szCs w:val="18"/>
        </w:rPr>
        <w:t>acoltativa]</w:t>
      </w:r>
      <w:r w:rsidR="00BA1078">
        <w:rPr>
          <w:rFonts w:ascii="Titillium" w:hAnsi="Titillium" w:cs="Calibri"/>
          <w:sz w:val="18"/>
          <w:szCs w:val="18"/>
        </w:rPr>
        <w:t xml:space="preserve"> </w:t>
      </w:r>
      <w:r w:rsidR="00870286">
        <w:rPr>
          <w:rFonts w:ascii="Titillium" w:hAnsi="Titillium" w:cs="Calibri"/>
          <w:sz w:val="18"/>
          <w:szCs w:val="18"/>
        </w:rPr>
        <w:t xml:space="preserve">Eventuali richieste di assistenza di tipo informatico riguardanti l’identificazione e l’accesso alla Piattaforma devono essere effettuate </w:t>
      </w:r>
      <w:r w:rsidR="00870286" w:rsidRPr="001035D6">
        <w:rPr>
          <w:rFonts w:ascii="Titillium" w:hAnsi="Titillium" w:cs="Calibri"/>
          <w:i/>
          <w:sz w:val="18"/>
          <w:szCs w:val="18"/>
        </w:rPr>
        <w:t>[inserire le modalità per richiedere assis</w:t>
      </w:r>
      <w:r w:rsidR="0071510E">
        <w:rPr>
          <w:rFonts w:ascii="Titillium" w:hAnsi="Titillium" w:cs="Calibri"/>
          <w:i/>
          <w:sz w:val="18"/>
          <w:szCs w:val="18"/>
        </w:rPr>
        <w:t xml:space="preserve">tenza ad esempio contattando il </w:t>
      </w:r>
      <w:r w:rsidR="00870286" w:rsidRPr="001035D6">
        <w:rPr>
          <w:rFonts w:ascii="Titillium" w:hAnsi="Titillium" w:cs="Calibri"/>
          <w:i/>
          <w:sz w:val="18"/>
          <w:szCs w:val="18"/>
        </w:rPr>
        <w:t>call center ovvero il servizio a ciò deputato al numero ... nei seguenti orari ... oppure invia</w:t>
      </w:r>
      <w:r w:rsidR="00F72D73" w:rsidRPr="001035D6">
        <w:rPr>
          <w:rFonts w:ascii="Titillium" w:hAnsi="Titillium" w:cs="Calibri"/>
          <w:i/>
          <w:sz w:val="18"/>
          <w:szCs w:val="18"/>
        </w:rPr>
        <w:t>ndo</w:t>
      </w:r>
      <w:r w:rsidR="00870286" w:rsidRPr="001035D6">
        <w:rPr>
          <w:rFonts w:ascii="Titillium" w:hAnsi="Titillium" w:cs="Calibri"/>
          <w:i/>
          <w:sz w:val="18"/>
          <w:szCs w:val="18"/>
        </w:rPr>
        <w:t xml:space="preserve"> un’email al seguente indirizzo</w:t>
      </w:r>
      <w:r w:rsidR="00F72D73" w:rsidRPr="001035D6">
        <w:rPr>
          <w:rFonts w:ascii="Titillium" w:hAnsi="Titillium" w:cs="Calibri"/>
          <w:i/>
          <w:sz w:val="18"/>
          <w:szCs w:val="18"/>
        </w:rPr>
        <w:t xml:space="preserve"> …</w:t>
      </w:r>
      <w:r w:rsidR="00870286" w:rsidRPr="001035D6">
        <w:rPr>
          <w:rFonts w:ascii="Titillium" w:hAnsi="Titillium" w:cs="Calibri"/>
          <w:i/>
          <w:sz w:val="18"/>
          <w:szCs w:val="18"/>
        </w:rPr>
        <w:t>]</w:t>
      </w:r>
      <w:r w:rsidR="001035D6">
        <w:rPr>
          <w:rFonts w:ascii="Titillium" w:hAnsi="Titillium" w:cs="Calibri"/>
          <w:i/>
          <w:sz w:val="18"/>
          <w:szCs w:val="18"/>
        </w:rPr>
        <w:t>.</w:t>
      </w:r>
    </w:p>
    <w:p w14:paraId="22D9EB7F" w14:textId="77777777" w:rsidR="00BA1078" w:rsidRPr="001B7E2D" w:rsidRDefault="00BA1078" w:rsidP="00BA1078">
      <w:pPr>
        <w:pStyle w:val="Default"/>
        <w:ind w:left="1277"/>
        <w:rPr>
          <w:rFonts w:ascii="Titillium" w:hAnsi="Titillium" w:cs="Calibri"/>
          <w:bCs/>
          <w:iCs/>
          <w:sz w:val="18"/>
          <w:szCs w:val="18"/>
          <w:highlight w:val="white"/>
        </w:rPr>
      </w:pPr>
    </w:p>
    <w:tbl>
      <w:tblPr>
        <w:tblW w:w="9459" w:type="dxa"/>
        <w:tblInd w:w="-108" w:type="dxa"/>
        <w:tblLook w:val="04A0" w:firstRow="1" w:lastRow="0" w:firstColumn="1" w:lastColumn="0" w:noHBand="0" w:noVBand="1"/>
      </w:tblPr>
      <w:tblGrid>
        <w:gridCol w:w="9459"/>
      </w:tblGrid>
      <w:tr w:rsidR="00BA1078" w:rsidRPr="001B7E2D" w14:paraId="4244B0D8" w14:textId="77777777" w:rsidTr="006605E1">
        <w:tc>
          <w:tcPr>
            <w:tcW w:w="9459" w:type="dxa"/>
            <w:tcBorders>
              <w:top w:val="single" w:sz="4" w:space="0" w:color="000000"/>
              <w:left w:val="single" w:sz="4" w:space="0" w:color="000000"/>
              <w:bottom w:val="single" w:sz="4" w:space="0" w:color="000000"/>
              <w:right w:val="single" w:sz="4" w:space="0" w:color="000000"/>
            </w:tcBorders>
          </w:tcPr>
          <w:p w14:paraId="1D2C299A" w14:textId="670576F1" w:rsidR="00BA1078" w:rsidRPr="001B7E2D" w:rsidRDefault="00BA1078" w:rsidP="005E3851">
            <w:pPr>
              <w:pStyle w:val="Default"/>
              <w:rPr>
                <w:rFonts w:ascii="Titillium" w:hAnsi="Titillium" w:cs="Calibri"/>
                <w:bCs/>
                <w:i/>
                <w:iCs/>
                <w:sz w:val="18"/>
                <w:szCs w:val="18"/>
                <w:highlight w:val="white"/>
              </w:rPr>
            </w:pPr>
            <w:r w:rsidRPr="001B7E2D">
              <w:rPr>
                <w:rFonts w:ascii="Titillium" w:hAnsi="Titillium" w:cs="Calibri"/>
                <w:bCs/>
                <w:i/>
                <w:iCs/>
                <w:sz w:val="18"/>
                <w:szCs w:val="18"/>
                <w:highlight w:val="white"/>
              </w:rPr>
              <w:t>N.B.</w:t>
            </w:r>
            <w:r>
              <w:rPr>
                <w:rFonts w:ascii="Titillium" w:hAnsi="Titillium" w:cs="Calibri"/>
                <w:bCs/>
                <w:i/>
                <w:iCs/>
                <w:sz w:val="18"/>
                <w:szCs w:val="18"/>
                <w:highlight w:val="white"/>
              </w:rPr>
              <w:t xml:space="preserve">  </w:t>
            </w:r>
            <w:r w:rsidR="005E3851">
              <w:rPr>
                <w:rFonts w:ascii="Titillium" w:hAnsi="Titillium" w:cs="Calibri"/>
                <w:bCs/>
                <w:i/>
                <w:iCs/>
                <w:sz w:val="18"/>
                <w:szCs w:val="18"/>
                <w:highlight w:val="white"/>
              </w:rPr>
              <w:t xml:space="preserve">Nelle more dell’adeguamento </w:t>
            </w:r>
            <w:r w:rsidR="00532918">
              <w:rPr>
                <w:rFonts w:ascii="Titillium" w:hAnsi="Titillium" w:cs="Calibri"/>
                <w:bCs/>
                <w:i/>
                <w:iCs/>
                <w:sz w:val="18"/>
                <w:szCs w:val="18"/>
                <w:highlight w:val="white"/>
              </w:rPr>
              <w:t xml:space="preserve">dei sistemi telematici </w:t>
            </w:r>
            <w:r w:rsidR="005E3851">
              <w:rPr>
                <w:rFonts w:ascii="Titillium" w:hAnsi="Titillium" w:cs="Calibri"/>
                <w:bCs/>
                <w:i/>
                <w:iCs/>
                <w:sz w:val="18"/>
                <w:szCs w:val="18"/>
                <w:highlight w:val="white"/>
              </w:rPr>
              <w:t>al</w:t>
            </w:r>
            <w:r w:rsidR="00532918">
              <w:rPr>
                <w:rFonts w:ascii="Titillium" w:hAnsi="Titillium" w:cs="Calibri"/>
                <w:bCs/>
                <w:i/>
                <w:iCs/>
                <w:sz w:val="18"/>
                <w:szCs w:val="18"/>
                <w:highlight w:val="white"/>
              </w:rPr>
              <w:t xml:space="preserve"> decreto n. 148/21</w:t>
            </w:r>
            <w:r w:rsidR="00373F22">
              <w:rPr>
                <w:rFonts w:ascii="Titillium" w:hAnsi="Titillium" w:cs="Calibri"/>
                <w:bCs/>
                <w:i/>
                <w:iCs/>
                <w:sz w:val="18"/>
                <w:szCs w:val="18"/>
                <w:highlight w:val="white"/>
              </w:rPr>
              <w:t>,</w:t>
            </w:r>
            <w:r w:rsidR="00A1302C">
              <w:rPr>
                <w:rFonts w:ascii="Titillium" w:hAnsi="Titillium" w:cs="Calibri"/>
                <w:bCs/>
                <w:i/>
                <w:iCs/>
                <w:sz w:val="18"/>
                <w:szCs w:val="18"/>
                <w:highlight w:val="white"/>
              </w:rPr>
              <w:t xml:space="preserve"> </w:t>
            </w:r>
            <w:r>
              <w:rPr>
                <w:rFonts w:ascii="Titillium" w:hAnsi="Titillium" w:cs="Calibri"/>
                <w:bCs/>
                <w:i/>
                <w:iCs/>
                <w:sz w:val="18"/>
                <w:szCs w:val="18"/>
                <w:highlight w:val="white"/>
              </w:rPr>
              <w:t xml:space="preserve">le stazioni appaltanti valutano sulla base delle caratteristiche tecniche del sistema telematico utilizzato se consentire l’accesso allo stesso anche tramite il rilascio di specifiche credenziali </w:t>
            </w:r>
            <w:r w:rsidR="00A1302C">
              <w:rPr>
                <w:rFonts w:ascii="Titillium" w:hAnsi="Titillium" w:cs="Calibri"/>
                <w:bCs/>
                <w:i/>
                <w:iCs/>
                <w:sz w:val="18"/>
                <w:szCs w:val="18"/>
                <w:highlight w:val="white"/>
              </w:rPr>
              <w:t>e/o</w:t>
            </w:r>
            <w:r>
              <w:rPr>
                <w:rFonts w:ascii="Titillium" w:hAnsi="Titillium" w:cs="Calibri"/>
                <w:bCs/>
                <w:i/>
                <w:iCs/>
                <w:sz w:val="18"/>
                <w:szCs w:val="18"/>
                <w:highlight w:val="white"/>
              </w:rPr>
              <w:t xml:space="preserve"> </w:t>
            </w:r>
            <w:r>
              <w:rPr>
                <w:rFonts w:ascii="Titillium" w:hAnsi="Titillium" w:cs="Calibri"/>
                <w:bCs/>
                <w:i/>
                <w:iCs/>
                <w:sz w:val="18"/>
                <w:szCs w:val="18"/>
              </w:rPr>
              <w:t xml:space="preserve"> </w:t>
            </w:r>
            <w:r w:rsidRPr="00373F22">
              <w:rPr>
                <w:rFonts w:ascii="Titillium" w:hAnsi="Titillium" w:cs="Calibri"/>
                <w:bCs/>
                <w:i/>
                <w:iCs/>
                <w:sz w:val="18"/>
                <w:szCs w:val="18"/>
              </w:rPr>
              <w:t>mediante una o più del</w:t>
            </w:r>
            <w:r w:rsidRPr="00373F22">
              <w:rPr>
                <w:rFonts w:ascii="Titillium" w:eastAsia="Times New Roman" w:hAnsi="Titillium" w:cs="Calibri"/>
                <w:bCs/>
                <w:i/>
                <w:sz w:val="18"/>
                <w:szCs w:val="18"/>
                <w:highlight w:val="white"/>
                <w:lang w:eastAsia="en-US"/>
              </w:rPr>
              <w:t xml:space="preserve">le seguenti modalità di identificazione digitale:  </w:t>
            </w:r>
            <w:r w:rsidR="00373F22" w:rsidRPr="00373F22">
              <w:rPr>
                <w:rFonts w:ascii="Titillium" w:eastAsia="Times New Roman" w:hAnsi="Titillium" w:cs="Calibri"/>
                <w:bCs/>
                <w:i/>
                <w:sz w:val="18"/>
                <w:szCs w:val="18"/>
                <w:highlight w:val="white"/>
                <w:lang w:eastAsia="en-US"/>
              </w:rPr>
              <w:t>c</w:t>
            </w:r>
            <w:r w:rsidRPr="00373F22">
              <w:rPr>
                <w:rFonts w:ascii="Titillium" w:eastAsia="Times New Roman" w:hAnsi="Titillium" w:cs="Calibri"/>
                <w:bCs/>
                <w:i/>
                <w:sz w:val="18"/>
                <w:szCs w:val="18"/>
                <w:highlight w:val="white"/>
                <w:lang w:eastAsia="en-US"/>
              </w:rPr>
              <w:t xml:space="preserve">arta d’identità elettronica (CIE) di cui all’articolo 66 del decreto legislativo 7 marzo 2005, n. 82 o </w:t>
            </w:r>
            <w:r w:rsidR="00373F22" w:rsidRPr="00373F22">
              <w:rPr>
                <w:rFonts w:ascii="Titillium" w:eastAsia="Times New Roman" w:hAnsi="Titillium" w:cs="Calibri"/>
                <w:bCs/>
                <w:i/>
                <w:sz w:val="18"/>
                <w:szCs w:val="18"/>
                <w:highlight w:val="white"/>
                <w:lang w:eastAsia="en-US"/>
              </w:rPr>
              <w:t>c</w:t>
            </w:r>
            <w:r w:rsidRPr="00373F22">
              <w:rPr>
                <w:rFonts w:ascii="Titillium" w:eastAsia="Times New Roman" w:hAnsi="Titillium" w:cs="Calibri"/>
                <w:bCs/>
                <w:i/>
                <w:sz w:val="18"/>
                <w:szCs w:val="18"/>
                <w:highlight w:val="white"/>
                <w:lang w:eastAsia="en-US"/>
              </w:rPr>
              <w:t xml:space="preserve">arta Nazionale dei Servizi (CNS) di cui all’articolo 66 del medesimo decreto legislativo, </w:t>
            </w:r>
            <w:r w:rsidRPr="00373F22">
              <w:rPr>
                <w:rFonts w:ascii="Titillium" w:hAnsi="Titillium" w:cs="Calibri"/>
                <w:bCs/>
                <w:i/>
                <w:iCs/>
                <w:sz w:val="18"/>
                <w:szCs w:val="18"/>
                <w:highlight w:val="white"/>
              </w:rPr>
              <w:t>modificando in tal caso la lettera b) dell’articolo 1.2</w:t>
            </w:r>
            <w:r>
              <w:rPr>
                <w:rFonts w:ascii="Titillium" w:eastAsia="Times New Roman" w:hAnsi="Titillium" w:cs="Calibri"/>
                <w:bCs/>
                <w:sz w:val="18"/>
                <w:szCs w:val="18"/>
                <w:highlight w:val="white"/>
                <w:lang w:eastAsia="en-US"/>
              </w:rPr>
              <w:t>.</w:t>
            </w:r>
            <w:r w:rsidRPr="002D01A4">
              <w:rPr>
                <w:rFonts w:ascii="Titillium" w:eastAsia="Times New Roman" w:hAnsi="Titillium" w:cs="Calibri"/>
                <w:bCs/>
                <w:sz w:val="18"/>
                <w:szCs w:val="18"/>
                <w:highlight w:val="white"/>
                <w:lang w:eastAsia="en-US"/>
              </w:rPr>
              <w:t xml:space="preserve"> </w:t>
            </w:r>
          </w:p>
        </w:tc>
      </w:tr>
    </w:tbl>
    <w:p w14:paraId="60411546" w14:textId="77777777" w:rsidR="00BA1078" w:rsidRDefault="00BA1078" w:rsidP="00BA1078">
      <w:pPr>
        <w:pStyle w:val="Default"/>
      </w:pPr>
    </w:p>
    <w:p w14:paraId="3AB039E5" w14:textId="77777777" w:rsidR="00FA595A" w:rsidRPr="001B7E2D" w:rsidRDefault="00FA595A" w:rsidP="00FA595A">
      <w:pPr>
        <w:pStyle w:val="Default"/>
        <w:ind w:left="1277"/>
        <w:rPr>
          <w:rFonts w:ascii="Titillium" w:hAnsi="Titillium" w:cs="Calibri"/>
          <w:bCs/>
          <w:iCs/>
          <w:sz w:val="18"/>
          <w:szCs w:val="18"/>
          <w:highlight w:val="white"/>
        </w:rPr>
      </w:pPr>
    </w:p>
    <w:p w14:paraId="78E4F3DA" w14:textId="77777777" w:rsidR="004C53A8" w:rsidRDefault="00870286">
      <w:pPr>
        <w:pStyle w:val="Titolo2"/>
        <w:numPr>
          <w:ilvl w:val="0"/>
          <w:numId w:val="4"/>
        </w:numPr>
        <w:spacing w:after="200"/>
        <w:ind w:left="357" w:hanging="357"/>
      </w:pPr>
      <w:bookmarkStart w:id="160" w:name="_Toc482101909"/>
      <w:bookmarkStart w:id="161" w:name="_Toc95495877"/>
      <w:bookmarkEnd w:id="160"/>
      <w:r>
        <w:rPr>
          <w:rFonts w:ascii="Titillium" w:hAnsi="Titillium"/>
          <w:sz w:val="18"/>
          <w:szCs w:val="18"/>
        </w:rPr>
        <w:lastRenderedPageBreak/>
        <w:t>DOCUMENTAZIONE DI GARA</w:t>
      </w:r>
      <w:r>
        <w:rPr>
          <w:rFonts w:ascii="Titillium" w:hAnsi="Titillium"/>
          <w:sz w:val="18"/>
          <w:szCs w:val="18"/>
          <w:lang w:val="it-IT"/>
        </w:rPr>
        <w:t>,</w:t>
      </w:r>
      <w:r>
        <w:rPr>
          <w:rFonts w:ascii="Titillium" w:hAnsi="Titillium"/>
          <w:sz w:val="18"/>
          <w:szCs w:val="18"/>
        </w:rPr>
        <w:t xml:space="preserve"> CHIARIMENTI</w:t>
      </w:r>
      <w:r>
        <w:rPr>
          <w:rFonts w:ascii="Titillium" w:hAnsi="Titillium"/>
          <w:sz w:val="18"/>
          <w:szCs w:val="18"/>
          <w:lang w:val="it-IT"/>
        </w:rPr>
        <w:t xml:space="preserve"> E COMUNICAZIONI</w:t>
      </w:r>
      <w:bookmarkEnd w:id="161"/>
    </w:p>
    <w:p w14:paraId="026BD960" w14:textId="3C5AD9BA" w:rsidR="004C53A8" w:rsidRPr="00352F6C" w:rsidRDefault="004C667D">
      <w:pPr>
        <w:pStyle w:val="Titolo3"/>
        <w:numPr>
          <w:ilvl w:val="1"/>
          <w:numId w:val="4"/>
        </w:numPr>
        <w:ind w:left="426" w:hanging="426"/>
        <w:rPr>
          <w:rFonts w:ascii="Titillium" w:hAnsi="Titillium"/>
          <w:iCs/>
          <w:sz w:val="18"/>
          <w:szCs w:val="18"/>
        </w:rPr>
      </w:pPr>
      <w:bookmarkStart w:id="162" w:name="_Toc95495878"/>
      <w:r w:rsidRPr="00352F6C">
        <w:rPr>
          <w:rFonts w:ascii="Titillium" w:hAnsi="Titillium"/>
          <w:iCs/>
          <w:sz w:val="18"/>
          <w:szCs w:val="18"/>
        </w:rPr>
        <w:t>DOCUMENTI DI GARA</w:t>
      </w:r>
      <w:bookmarkEnd w:id="162"/>
    </w:p>
    <w:p w14:paraId="7E7EEFFE" w14:textId="77777777" w:rsidR="004C53A8" w:rsidRDefault="00870286">
      <w:pPr>
        <w:spacing w:before="60" w:after="60"/>
        <w:rPr>
          <w:rFonts w:ascii="Titillium" w:hAnsi="Titillium" w:cs="Calibri"/>
          <w:sz w:val="18"/>
          <w:szCs w:val="18"/>
        </w:rPr>
      </w:pPr>
      <w:r>
        <w:rPr>
          <w:rFonts w:ascii="Titillium" w:hAnsi="Titillium" w:cs="Calibri"/>
          <w:sz w:val="18"/>
          <w:szCs w:val="18"/>
        </w:rPr>
        <w:t>La documentazione di gara comprende:</w:t>
      </w:r>
    </w:p>
    <w:p w14:paraId="6A7084D6" w14:textId="77777777" w:rsidR="004C53A8" w:rsidRDefault="00870286" w:rsidP="0022153A">
      <w:pPr>
        <w:numPr>
          <w:ilvl w:val="2"/>
          <w:numId w:val="20"/>
        </w:numPr>
        <w:spacing w:before="60" w:after="60"/>
        <w:ind w:left="709" w:hanging="283"/>
        <w:jc w:val="left"/>
        <w:rPr>
          <w:rFonts w:ascii="Titillium" w:hAnsi="Titillium" w:cs="Calibri"/>
          <w:bCs/>
          <w:iCs/>
          <w:sz w:val="18"/>
          <w:szCs w:val="18"/>
          <w:lang w:eastAsia="it-IT"/>
        </w:rPr>
      </w:pPr>
      <w:r>
        <w:rPr>
          <w:rFonts w:ascii="Titillium" w:hAnsi="Titillium" w:cs="Calibri"/>
          <w:bCs/>
          <w:iCs/>
          <w:sz w:val="18"/>
          <w:szCs w:val="18"/>
          <w:lang w:eastAsia="it-IT"/>
        </w:rPr>
        <w:t>bando di gara;</w:t>
      </w:r>
    </w:p>
    <w:p w14:paraId="79A4E918" w14:textId="77777777" w:rsidR="004C53A8" w:rsidRDefault="00870286" w:rsidP="0022153A">
      <w:pPr>
        <w:numPr>
          <w:ilvl w:val="2"/>
          <w:numId w:val="20"/>
        </w:numPr>
        <w:spacing w:before="60" w:after="60"/>
        <w:ind w:left="709" w:hanging="283"/>
        <w:rPr>
          <w:rFonts w:ascii="Titillium" w:hAnsi="Titillium" w:cs="Calibri"/>
          <w:bCs/>
          <w:iCs/>
          <w:sz w:val="18"/>
          <w:szCs w:val="18"/>
          <w:lang w:eastAsia="it-IT"/>
        </w:rPr>
      </w:pPr>
      <w:r>
        <w:rPr>
          <w:rFonts w:ascii="Titillium" w:hAnsi="Titillium" w:cs="Calibri"/>
          <w:bCs/>
          <w:iCs/>
          <w:sz w:val="18"/>
          <w:szCs w:val="18"/>
          <w:lang w:eastAsia="it-IT"/>
        </w:rPr>
        <w:t xml:space="preserve">disciplinare di gara; </w:t>
      </w:r>
    </w:p>
    <w:p w14:paraId="468F3860" w14:textId="3386F0A2" w:rsidR="004C53A8" w:rsidRPr="001B0323" w:rsidRDefault="00870286" w:rsidP="0022153A">
      <w:pPr>
        <w:numPr>
          <w:ilvl w:val="2"/>
          <w:numId w:val="20"/>
        </w:numPr>
        <w:spacing w:before="60" w:after="60"/>
        <w:ind w:left="709" w:hanging="283"/>
      </w:pPr>
      <w:r>
        <w:rPr>
          <w:rFonts w:ascii="Titillium" w:hAnsi="Titillium" w:cs="Calibri"/>
          <w:bCs/>
          <w:iCs/>
          <w:sz w:val="18"/>
          <w:szCs w:val="18"/>
          <w:lang w:eastAsia="it-IT"/>
        </w:rPr>
        <w:t>schema di domanda di partecipazione;</w:t>
      </w:r>
    </w:p>
    <w:p w14:paraId="35851C83" w14:textId="1A27A01E" w:rsidR="001B0323" w:rsidRPr="001B0323" w:rsidRDefault="001B0323" w:rsidP="0022153A">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capitolato speciale descrittivo e prestazionale</w:t>
      </w:r>
      <w:r>
        <w:rPr>
          <w:rFonts w:ascii="Titillium" w:hAnsi="Titillium" w:cs="Calibri"/>
          <w:bCs/>
          <w:iCs/>
          <w:sz w:val="18"/>
          <w:szCs w:val="18"/>
          <w:lang w:eastAsia="it-IT"/>
        </w:rPr>
        <w:t>;</w:t>
      </w:r>
    </w:p>
    <w:p w14:paraId="4705C9C9" w14:textId="7D365225" w:rsidR="001B0323" w:rsidRPr="001B0323" w:rsidRDefault="001B0323" w:rsidP="0022153A">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schema di contratto</w:t>
      </w:r>
      <w:r>
        <w:rPr>
          <w:rFonts w:ascii="Titillium" w:hAnsi="Titillium" w:cs="Calibri"/>
          <w:bCs/>
          <w:iCs/>
          <w:sz w:val="18"/>
          <w:szCs w:val="18"/>
          <w:lang w:eastAsia="it-IT"/>
        </w:rPr>
        <w:t>;</w:t>
      </w:r>
    </w:p>
    <w:p w14:paraId="7F72A20C" w14:textId="77777777" w:rsidR="004C53A8" w:rsidRDefault="00870286" w:rsidP="0022153A">
      <w:pPr>
        <w:numPr>
          <w:ilvl w:val="2"/>
          <w:numId w:val="20"/>
        </w:numPr>
        <w:spacing w:before="60" w:after="60"/>
        <w:ind w:left="709" w:hanging="283"/>
        <w:rPr>
          <w:rFonts w:ascii="Titillium" w:hAnsi="Titillium" w:cs="Calibri"/>
          <w:bCs/>
          <w:iCs/>
          <w:sz w:val="18"/>
          <w:szCs w:val="18"/>
          <w:lang w:eastAsia="it-IT"/>
        </w:rPr>
      </w:pPr>
      <w:r>
        <w:rPr>
          <w:rFonts w:ascii="Titillium" w:hAnsi="Titillium" w:cs="Calibri"/>
          <w:bCs/>
          <w:iCs/>
          <w:sz w:val="18"/>
          <w:szCs w:val="18"/>
          <w:lang w:eastAsia="it-IT"/>
        </w:rPr>
        <w:t>documento di gara unico europeo in formato elettronico;</w:t>
      </w:r>
    </w:p>
    <w:p w14:paraId="6BBFAB21" w14:textId="604273C5" w:rsidR="004C53A8" w:rsidRDefault="00870286" w:rsidP="0022153A">
      <w:pPr>
        <w:numPr>
          <w:ilvl w:val="2"/>
          <w:numId w:val="20"/>
        </w:numPr>
        <w:spacing w:before="60" w:after="60"/>
        <w:ind w:left="709" w:hanging="283"/>
      </w:pPr>
      <w:r>
        <w:rPr>
          <w:rFonts w:ascii="Titillium" w:eastAsia="Calibri" w:hAnsi="Titillium" w:cs="Book-Antiqua,Bold"/>
          <w:bCs/>
          <w:iCs/>
          <w:color w:val="000000"/>
          <w:sz w:val="18"/>
          <w:szCs w:val="18"/>
          <w:lang w:eastAsia="it-IT"/>
        </w:rPr>
        <w:t xml:space="preserve">istruzioni operative per accedere alla Piattaforma e regole tecniche per l’utilizzo della stessa </w:t>
      </w:r>
      <w:r>
        <w:rPr>
          <w:rFonts w:ascii="Titillium" w:eastAsia="Calibri" w:hAnsi="Titillium" w:cs="Book-Antiqua,Bold"/>
          <w:bCs/>
          <w:i/>
          <w:iCs/>
          <w:color w:val="000000"/>
          <w:sz w:val="18"/>
          <w:szCs w:val="18"/>
          <w:lang w:eastAsia="it-IT"/>
        </w:rPr>
        <w:t>[indicare il documento nel quale sono riportate le indicazioni operative e le informazioni per accedere ed utilizzare la Piattaforma, ad esempio Istruzioni tecniche o Manuale utente</w:t>
      </w:r>
      <w:r w:rsidR="00CF0C59">
        <w:rPr>
          <w:rFonts w:ascii="Titillium" w:eastAsia="Calibri" w:hAnsi="Titillium" w:cs="Book-Antiqua,Bold"/>
          <w:bCs/>
          <w:i/>
          <w:iCs/>
          <w:color w:val="000000"/>
          <w:sz w:val="18"/>
          <w:szCs w:val="18"/>
          <w:lang w:eastAsia="it-IT"/>
        </w:rPr>
        <w:t xml:space="preserve"> ovvero il link dove è possibile trovare tale documentazione</w:t>
      </w:r>
      <w:r>
        <w:rPr>
          <w:rFonts w:ascii="Titillium" w:eastAsia="Calibri" w:hAnsi="Titillium" w:cs="Book-Antiqua,Bold"/>
          <w:bCs/>
          <w:i/>
          <w:iCs/>
          <w:color w:val="000000"/>
          <w:sz w:val="18"/>
          <w:szCs w:val="18"/>
          <w:lang w:eastAsia="it-IT"/>
        </w:rPr>
        <w:t>]</w:t>
      </w:r>
      <w:r>
        <w:rPr>
          <w:rFonts w:ascii="Titillium" w:hAnsi="Titillium" w:cs="Calibri"/>
          <w:bCs/>
          <w:sz w:val="18"/>
          <w:szCs w:val="18"/>
          <w:lang w:eastAsia="it-IT"/>
        </w:rPr>
        <w:t>;</w:t>
      </w:r>
    </w:p>
    <w:p w14:paraId="497DDF57" w14:textId="77777777" w:rsidR="004C53A8" w:rsidRDefault="00870286" w:rsidP="0022153A">
      <w:pPr>
        <w:numPr>
          <w:ilvl w:val="2"/>
          <w:numId w:val="20"/>
        </w:numPr>
        <w:spacing w:before="60" w:after="60"/>
        <w:ind w:left="709" w:hanging="283"/>
      </w:pPr>
      <w:r>
        <w:rPr>
          <w:rFonts w:ascii="Titillium" w:hAnsi="Titillium"/>
          <w:b/>
          <w:bCs/>
          <w:i/>
          <w:color w:val="000000"/>
          <w:sz w:val="18"/>
          <w:szCs w:val="18"/>
          <w:lang w:eastAsia="it-IT"/>
        </w:rPr>
        <w:t>[ove presente]</w:t>
      </w:r>
      <w:r>
        <w:rPr>
          <w:rFonts w:ascii="Titillium" w:hAnsi="Titillium"/>
          <w:color w:val="000000"/>
          <w:sz w:val="18"/>
          <w:szCs w:val="18"/>
          <w:lang w:eastAsia="it-IT"/>
        </w:rPr>
        <w:t xml:space="preserve"> patto di integrità/protocollo di legalità … </w:t>
      </w:r>
      <w:r>
        <w:rPr>
          <w:rFonts w:ascii="Titillium" w:hAnsi="Titillium"/>
          <w:i/>
          <w:iCs/>
          <w:color w:val="000000"/>
          <w:sz w:val="18"/>
          <w:szCs w:val="18"/>
          <w:lang w:eastAsia="it-IT"/>
        </w:rPr>
        <w:t>[indicare il riferimento normativo o amministrativo, per esempio legge regionale n. … del ..., delibera n. … del … da cui discende l’applicazione del suddetto patto/protocollo]</w:t>
      </w:r>
      <w:r>
        <w:rPr>
          <w:rFonts w:ascii="Titillium" w:hAnsi="Titillium" w:cs="Calibri"/>
          <w:bCs/>
          <w:iCs/>
          <w:sz w:val="18"/>
          <w:szCs w:val="18"/>
          <w:lang w:eastAsia="it-IT"/>
        </w:rPr>
        <w:t>;</w:t>
      </w:r>
    </w:p>
    <w:p w14:paraId="5068F5A9" w14:textId="37EB3F5A" w:rsidR="004C53A8" w:rsidRDefault="00870286" w:rsidP="0022153A">
      <w:pPr>
        <w:numPr>
          <w:ilvl w:val="2"/>
          <w:numId w:val="20"/>
        </w:numPr>
        <w:spacing w:before="60" w:after="60"/>
        <w:ind w:left="709" w:hanging="283"/>
      </w:pPr>
      <w:r w:rsidRPr="001B0323">
        <w:rPr>
          <w:rFonts w:ascii="Titillium" w:hAnsi="Titillium" w:cs="Calibri"/>
          <w:bCs/>
          <w:iCs/>
          <w:sz w:val="18"/>
          <w:szCs w:val="18"/>
          <w:lang w:eastAsia="it-IT"/>
        </w:rPr>
        <w:t xml:space="preserve">... </w:t>
      </w:r>
      <w:r w:rsidRPr="001B0323">
        <w:rPr>
          <w:rFonts w:ascii="Titillium" w:hAnsi="Titillium" w:cs="Calibri"/>
          <w:bCs/>
          <w:i/>
          <w:iCs/>
          <w:sz w:val="18"/>
          <w:szCs w:val="18"/>
          <w:lang w:eastAsia="it-IT"/>
        </w:rPr>
        <w:t xml:space="preserve">[indicare eventuali altri allegati, ad esempio </w:t>
      </w:r>
      <w:r w:rsidR="00CF0C59" w:rsidRPr="00CF0C59">
        <w:rPr>
          <w:rFonts w:ascii="Titillium" w:hAnsi="Titillium" w:cs="Calibri"/>
          <w:bCs/>
          <w:i/>
          <w:iCs/>
          <w:sz w:val="18"/>
          <w:szCs w:val="18"/>
          <w:lang w:eastAsia="it-IT"/>
        </w:rPr>
        <w:t>modello/schema per la presentazione dell’offerta economica/lista prezzi/dettaglio economico, e in caso di applicazione della clausola sociale l’elenco del personale da riassorbire</w:t>
      </w:r>
      <w:r w:rsidRPr="001B0323">
        <w:rPr>
          <w:rFonts w:ascii="Titillium" w:hAnsi="Titillium" w:cs="Calibri"/>
          <w:bCs/>
          <w:i/>
          <w:iCs/>
          <w:sz w:val="18"/>
          <w:szCs w:val="18"/>
          <w:lang w:eastAsia="it-IT"/>
        </w:rPr>
        <w:t>]</w:t>
      </w:r>
      <w:r w:rsidRPr="001B0323">
        <w:rPr>
          <w:rFonts w:ascii="Titillium" w:hAnsi="Titillium" w:cs="Calibri"/>
          <w:bCs/>
          <w:iCs/>
          <w:sz w:val="18"/>
          <w:szCs w:val="18"/>
          <w:lang w:eastAsia="it-IT"/>
        </w:rPr>
        <w:t xml:space="preserve">. </w:t>
      </w:r>
    </w:p>
    <w:p w14:paraId="65A529E3" w14:textId="0E852E84" w:rsidR="003E6215" w:rsidRDefault="00870286">
      <w:pPr>
        <w:spacing w:before="60" w:after="60"/>
        <w:rPr>
          <w:rFonts w:ascii="Titillium" w:hAnsi="Titillium" w:cs="Calibri"/>
          <w:i/>
          <w:sz w:val="18"/>
          <w:szCs w:val="18"/>
        </w:rPr>
      </w:pPr>
      <w:r>
        <w:rPr>
          <w:rFonts w:ascii="Titillium" w:hAnsi="Titillium" w:cs="Calibri"/>
          <w:sz w:val="18"/>
          <w:szCs w:val="18"/>
        </w:rPr>
        <w:t xml:space="preserve">La documentazione di gara è </w:t>
      </w:r>
      <w:r w:rsidR="00AB22F3">
        <w:rPr>
          <w:rFonts w:ascii="Titillium" w:hAnsi="Titillium" w:cs="Calibri"/>
          <w:sz w:val="18"/>
          <w:szCs w:val="18"/>
        </w:rPr>
        <w:t xml:space="preserve">accessibile gratuitamente, per via elettronica, </w:t>
      </w:r>
      <w:r>
        <w:rPr>
          <w:rFonts w:ascii="Titillium" w:hAnsi="Titillium" w:cs="Calibri"/>
          <w:sz w:val="18"/>
          <w:szCs w:val="18"/>
        </w:rPr>
        <w:t xml:space="preserve">sul </w:t>
      </w:r>
      <w:r w:rsidR="00A1302C">
        <w:rPr>
          <w:rFonts w:ascii="Titillium" w:hAnsi="Titillium" w:cs="Calibri"/>
          <w:sz w:val="18"/>
          <w:szCs w:val="18"/>
        </w:rPr>
        <w:t xml:space="preserve">profilo della stazione appaltante, nella sezione </w:t>
      </w:r>
      <w:r w:rsidR="00A1302C" w:rsidRPr="001F0977">
        <w:rPr>
          <w:rFonts w:ascii="Titillium" w:hAnsi="Titillium" w:cs="Calibri"/>
          <w:sz w:val="18"/>
          <w:szCs w:val="18"/>
        </w:rPr>
        <w:t>“Amministrazione trasparente</w:t>
      </w:r>
      <w:r w:rsidR="001F0977">
        <w:rPr>
          <w:rFonts w:ascii="Titillium" w:hAnsi="Titillium" w:cs="Calibri"/>
          <w:sz w:val="18"/>
          <w:szCs w:val="18"/>
        </w:rPr>
        <w:t>”, al seguente link:</w:t>
      </w:r>
      <w:r w:rsidR="00522F9E">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il link dal quale è possibile consultare la documentazione]</w:t>
      </w:r>
      <w:r w:rsidRPr="001F0977">
        <w:rPr>
          <w:rFonts w:ascii="Titillium" w:hAnsi="Titillium"/>
          <w:sz w:val="18"/>
          <w:szCs w:val="18"/>
        </w:rPr>
        <w:t xml:space="preserve"> </w:t>
      </w:r>
      <w:r w:rsidRPr="001F0977">
        <w:rPr>
          <w:rFonts w:ascii="Titillium" w:hAnsi="Titillium" w:cs="Calibri"/>
          <w:sz w:val="18"/>
          <w:szCs w:val="18"/>
        </w:rPr>
        <w:t xml:space="preserve">e </w:t>
      </w:r>
      <w:r w:rsidR="00F570C2" w:rsidRPr="001F0977">
        <w:rPr>
          <w:rFonts w:ascii="Titillium" w:hAnsi="Titillium" w:cs="Calibri"/>
          <w:sz w:val="18"/>
          <w:szCs w:val="18"/>
        </w:rPr>
        <w:t>sulla</w:t>
      </w:r>
      <w:r w:rsidR="004A1488" w:rsidRPr="001F0977">
        <w:rPr>
          <w:rFonts w:ascii="Titillium" w:hAnsi="Titillium" w:cs="Calibri"/>
          <w:sz w:val="18"/>
          <w:szCs w:val="18"/>
        </w:rPr>
        <w:t xml:space="preserve"> Piattaforma</w:t>
      </w:r>
      <w:r w:rsidR="00F570C2" w:rsidRPr="001F0977">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l</w:t>
      </w:r>
      <w:r w:rsidR="00BA1078" w:rsidRPr="001F0977">
        <w:rPr>
          <w:rFonts w:ascii="Titillium" w:hAnsi="Titillium" w:cs="Calibri"/>
          <w:i/>
          <w:sz w:val="18"/>
          <w:szCs w:val="18"/>
        </w:rPr>
        <w:t>’apposita sezione</w:t>
      </w:r>
      <w:r w:rsidRPr="001F0977">
        <w:rPr>
          <w:rFonts w:ascii="Titillium" w:hAnsi="Titillium" w:cs="Calibri"/>
          <w:i/>
          <w:sz w:val="18"/>
          <w:szCs w:val="18"/>
        </w:rPr>
        <w:t>].</w:t>
      </w:r>
    </w:p>
    <w:p w14:paraId="0C44CCF9" w14:textId="77777777" w:rsidR="003E6215" w:rsidRDefault="003E6215">
      <w:pPr>
        <w:spacing w:before="60" w:after="60"/>
      </w:pPr>
    </w:p>
    <w:p w14:paraId="46782853" w14:textId="103CC702" w:rsidR="004C53A8" w:rsidRDefault="004C667D">
      <w:pPr>
        <w:pStyle w:val="Titolo3"/>
        <w:numPr>
          <w:ilvl w:val="1"/>
          <w:numId w:val="4"/>
        </w:numPr>
        <w:ind w:left="426" w:hanging="426"/>
      </w:pPr>
      <w:bookmarkStart w:id="163" w:name="_Toc95495879"/>
      <w:r>
        <w:rPr>
          <w:rFonts w:ascii="Titillium" w:hAnsi="Titillium"/>
          <w:caps w:val="0"/>
          <w:sz w:val="18"/>
          <w:szCs w:val="18"/>
          <w:lang w:val="it-IT"/>
        </w:rPr>
        <w:t>C</w:t>
      </w:r>
      <w:r>
        <w:rPr>
          <w:rFonts w:ascii="Titillium" w:hAnsi="Titillium"/>
          <w:caps w:val="0"/>
          <w:sz w:val="18"/>
          <w:szCs w:val="18"/>
        </w:rPr>
        <w:t>HIARIMENTI</w:t>
      </w:r>
      <w:bookmarkEnd w:id="163"/>
    </w:p>
    <w:p w14:paraId="0AAFD704" w14:textId="344AD5B1" w:rsidR="004C53A8" w:rsidRDefault="00870286">
      <w:pPr>
        <w:spacing w:before="60" w:after="60"/>
      </w:pPr>
      <w:r>
        <w:rPr>
          <w:rFonts w:ascii="Titillium" w:hAnsi="Titillium" w:cs="Calibri"/>
          <w:sz w:val="18"/>
          <w:szCs w:val="18"/>
        </w:rPr>
        <w:t xml:space="preserve">É possibile ottenere chiarimenti sulla presente procedura mediante la proposizione di quesiti scritti da inoltrare almeno … </w:t>
      </w:r>
      <w:r>
        <w:rPr>
          <w:rFonts w:ascii="Titillium" w:hAnsi="Titillium" w:cs="Calibri"/>
          <w:i/>
          <w:sz w:val="18"/>
          <w:szCs w:val="18"/>
        </w:rPr>
        <w:t>[indicare il numero di giorni, ad esempio 10]</w:t>
      </w:r>
      <w:r w:rsidR="00472411">
        <w:rPr>
          <w:rFonts w:ascii="Titillium" w:hAnsi="Titillium" w:cs="Calibri"/>
          <w:sz w:val="18"/>
          <w:szCs w:val="18"/>
        </w:rPr>
        <w:t xml:space="preserve"> </w:t>
      </w:r>
      <w:r>
        <w:rPr>
          <w:rFonts w:ascii="Titillium" w:hAnsi="Titillium" w:cs="Calibri"/>
          <w:sz w:val="18"/>
          <w:szCs w:val="18"/>
        </w:rPr>
        <w:t xml:space="preserve">giorni prima della scadenza del termine fissato per la presentazione delle offerte in via telematica attraverso la sezione della Piattaforma riservata alle richieste di chiarimenti </w:t>
      </w:r>
      <w:r>
        <w:rPr>
          <w:rFonts w:ascii="Titillium" w:hAnsi="Titillium" w:cs="Calibri"/>
          <w:i/>
          <w:sz w:val="18"/>
          <w:szCs w:val="18"/>
        </w:rPr>
        <w:t xml:space="preserve">[indicare </w:t>
      </w:r>
      <w:r w:rsidR="00F570C2" w:rsidRPr="00F570C2">
        <w:rPr>
          <w:rFonts w:ascii="Titillium" w:hAnsi="Titillium" w:cs="Calibri"/>
          <w:i/>
          <w:sz w:val="18"/>
          <w:szCs w:val="18"/>
        </w:rPr>
        <w:t xml:space="preserve">la Sezione/Area </w:t>
      </w:r>
      <w:r w:rsidR="00F570C2">
        <w:rPr>
          <w:rFonts w:ascii="Titillium" w:hAnsi="Titillium" w:cs="Calibri"/>
          <w:i/>
          <w:sz w:val="18"/>
          <w:szCs w:val="18"/>
        </w:rPr>
        <w:t xml:space="preserve">ovvero il </w:t>
      </w:r>
      <w:r>
        <w:rPr>
          <w:rFonts w:ascii="Titillium" w:hAnsi="Titillium" w:cs="Calibri"/>
          <w:i/>
          <w:sz w:val="18"/>
          <w:szCs w:val="18"/>
        </w:rPr>
        <w:t>link all’area chiarimenti]</w:t>
      </w:r>
      <w:r>
        <w:rPr>
          <w:rFonts w:ascii="Titillium" w:hAnsi="Titillium" w:cs="Calibri"/>
          <w:sz w:val="18"/>
          <w:szCs w:val="18"/>
        </w:rPr>
        <w:t>, previa registrazione alla Piattaforma stessa.</w:t>
      </w:r>
    </w:p>
    <w:p w14:paraId="41E4396F" w14:textId="0DFDB850" w:rsidR="00CD43C4" w:rsidRDefault="00870286">
      <w:pPr>
        <w:spacing w:before="60" w:after="60"/>
        <w:rPr>
          <w:rFonts w:ascii="Titillium" w:hAnsi="Titillium" w:cs="Calibri"/>
          <w:i/>
          <w:sz w:val="18"/>
          <w:szCs w:val="18"/>
        </w:rPr>
      </w:pPr>
      <w:r>
        <w:rPr>
          <w:rFonts w:ascii="Titillium" w:hAnsi="Titillium" w:cs="Calibri"/>
          <w:sz w:val="18"/>
          <w:szCs w:val="18"/>
        </w:rPr>
        <w:t xml:space="preserve">Le richieste di chiarimenti </w:t>
      </w:r>
      <w:r w:rsidR="00C95AAE">
        <w:rPr>
          <w:rFonts w:ascii="Titillium" w:hAnsi="Titillium" w:cs="Calibri"/>
          <w:sz w:val="18"/>
          <w:szCs w:val="18"/>
        </w:rPr>
        <w:t xml:space="preserve">e le relative risposte </w:t>
      </w:r>
      <w:r>
        <w:rPr>
          <w:rFonts w:ascii="Titillium" w:hAnsi="Titillium" w:cs="Calibri"/>
          <w:sz w:val="18"/>
          <w:szCs w:val="18"/>
        </w:rPr>
        <w:t>sono formulate esclusivamente in lingua italiana.</w:t>
      </w:r>
      <w:r w:rsidR="00840480">
        <w:rPr>
          <w:rFonts w:ascii="Titillium" w:hAnsi="Titillium" w:cs="Calibri"/>
          <w:sz w:val="18"/>
          <w:szCs w:val="18"/>
        </w:rPr>
        <w:t xml:space="preserve"> </w:t>
      </w:r>
      <w:r w:rsidRPr="00840480">
        <w:rPr>
          <w:rFonts w:ascii="Titillium" w:hAnsi="Titillium" w:cs="Calibri"/>
          <w:b/>
          <w:i/>
          <w:iCs/>
          <w:sz w:val="18"/>
          <w:szCs w:val="18"/>
        </w:rPr>
        <w:t>[</w:t>
      </w:r>
      <w:r w:rsidR="00F570C2" w:rsidRPr="00840480">
        <w:rPr>
          <w:rFonts w:ascii="Titillium" w:hAnsi="Titillium" w:cs="Calibri"/>
          <w:b/>
          <w:i/>
          <w:iCs/>
          <w:sz w:val="18"/>
          <w:szCs w:val="18"/>
        </w:rPr>
        <w:t>in a</w:t>
      </w:r>
      <w:r w:rsidRPr="00840480">
        <w:rPr>
          <w:rFonts w:ascii="Titillium" w:hAnsi="Titillium" w:cs="Calibri"/>
          <w:b/>
          <w:i/>
          <w:iCs/>
          <w:sz w:val="18"/>
          <w:szCs w:val="18"/>
        </w:rPr>
        <w:t xml:space="preserve">lternativa </w:t>
      </w:r>
      <w:r w:rsidRPr="00840480">
        <w:rPr>
          <w:rFonts w:ascii="Titillium" w:hAnsi="Titillium" w:cs="Calibri"/>
          <w:i/>
          <w:iCs/>
          <w:sz w:val="18"/>
          <w:szCs w:val="18"/>
        </w:rPr>
        <w:t xml:space="preserve">in caso di </w:t>
      </w:r>
      <w:r w:rsidR="00331E4A" w:rsidRPr="00840480">
        <w:rPr>
          <w:rFonts w:ascii="Titillium" w:hAnsi="Titillium" w:cs="Calibri"/>
          <w:i/>
          <w:iCs/>
          <w:sz w:val="18"/>
          <w:szCs w:val="18"/>
        </w:rPr>
        <w:t>bilinguismo</w:t>
      </w:r>
      <w:r w:rsidRPr="00840480">
        <w:rPr>
          <w:rFonts w:ascii="Titillium" w:hAnsi="Titillium" w:cs="Calibri"/>
          <w:i/>
          <w:iCs/>
          <w:sz w:val="18"/>
          <w:szCs w:val="18"/>
        </w:rPr>
        <w:t>]</w:t>
      </w:r>
      <w:r w:rsidRPr="005A60DC">
        <w:rPr>
          <w:rFonts w:ascii="Titillium" w:hAnsi="Titillium" w:cs="Calibri"/>
          <w:b/>
          <w:sz w:val="18"/>
          <w:szCs w:val="18"/>
        </w:rPr>
        <w:t xml:space="preserve"> </w:t>
      </w:r>
      <w:r>
        <w:rPr>
          <w:rFonts w:ascii="Titillium" w:hAnsi="Titillium" w:cs="Calibri"/>
          <w:sz w:val="18"/>
          <w:szCs w:val="18"/>
        </w:rPr>
        <w:t xml:space="preserve">Le richieste di </w:t>
      </w:r>
      <w:r w:rsidR="00E11EBF">
        <w:rPr>
          <w:rFonts w:ascii="Titillium" w:hAnsi="Titillium" w:cs="Calibri"/>
          <w:sz w:val="18"/>
          <w:szCs w:val="18"/>
        </w:rPr>
        <w:t>chiarimenti e</w:t>
      </w:r>
      <w:r w:rsidR="00C95AAE">
        <w:rPr>
          <w:rFonts w:ascii="Titillium" w:hAnsi="Titillium" w:cs="Calibri"/>
          <w:sz w:val="18"/>
          <w:szCs w:val="18"/>
        </w:rPr>
        <w:t xml:space="preserve"> le relative risposte </w:t>
      </w:r>
      <w:r>
        <w:rPr>
          <w:rFonts w:ascii="Titillium" w:hAnsi="Titillium" w:cs="Calibri"/>
          <w:sz w:val="18"/>
          <w:szCs w:val="18"/>
        </w:rPr>
        <w:t>sono formulate in lingua italiana</w:t>
      </w:r>
      <w:r w:rsidR="00CD43C4">
        <w:rPr>
          <w:rFonts w:ascii="Titillium" w:hAnsi="Titillium" w:cs="Calibri"/>
          <w:sz w:val="18"/>
          <w:szCs w:val="18"/>
        </w:rPr>
        <w:t xml:space="preserve"> </w:t>
      </w:r>
      <w:r w:rsidR="00721252" w:rsidRPr="00331E4A">
        <w:rPr>
          <w:rFonts w:ascii="Titillium" w:hAnsi="Titillium" w:cs="Calibri"/>
          <w:i/>
          <w:sz w:val="18"/>
          <w:szCs w:val="18"/>
        </w:rPr>
        <w:t>[</w:t>
      </w:r>
      <w:r w:rsidR="006E0AE1">
        <w:rPr>
          <w:rFonts w:ascii="Titillium" w:hAnsi="Titillium" w:cs="Calibri"/>
          <w:i/>
          <w:sz w:val="18"/>
          <w:szCs w:val="18"/>
        </w:rPr>
        <w:t>eventuale</w:t>
      </w:r>
      <w:r w:rsidR="006E0AE1" w:rsidRPr="00331E4A">
        <w:rPr>
          <w:rFonts w:ascii="Titillium" w:hAnsi="Titillium" w:cs="Calibri"/>
          <w:i/>
          <w:sz w:val="18"/>
          <w:szCs w:val="18"/>
        </w:rPr>
        <w:t>]</w:t>
      </w:r>
      <w:r w:rsidR="006E0AE1">
        <w:rPr>
          <w:rFonts w:ascii="Titillium" w:hAnsi="Titillium" w:cs="Calibri"/>
          <w:i/>
          <w:sz w:val="18"/>
          <w:szCs w:val="18"/>
        </w:rPr>
        <w:t xml:space="preserve"> </w:t>
      </w:r>
      <w:r w:rsidR="006E0AE1" w:rsidRPr="006E0AE1">
        <w:rPr>
          <w:rFonts w:ascii="Titillium" w:hAnsi="Titillium" w:cs="Calibri"/>
          <w:sz w:val="18"/>
          <w:szCs w:val="18"/>
        </w:rPr>
        <w:t>o</w:t>
      </w:r>
      <w:r w:rsidR="00721252" w:rsidRPr="006E0AE1">
        <w:rPr>
          <w:rFonts w:ascii="Titillium" w:hAnsi="Titillium" w:cs="Calibri"/>
          <w:sz w:val="18"/>
          <w:szCs w:val="18"/>
        </w:rPr>
        <w:t xml:space="preserve"> </w:t>
      </w:r>
      <w:r w:rsidR="00331E4A">
        <w:rPr>
          <w:rFonts w:ascii="Titillium" w:hAnsi="Titillium" w:cs="Calibri"/>
          <w:sz w:val="18"/>
          <w:szCs w:val="18"/>
        </w:rPr>
        <w:t xml:space="preserve">… </w:t>
      </w:r>
      <w:r w:rsidR="00331E4A" w:rsidRPr="00331E4A">
        <w:rPr>
          <w:rFonts w:ascii="Titillium" w:hAnsi="Titillium" w:cs="Calibri"/>
          <w:i/>
          <w:sz w:val="18"/>
          <w:szCs w:val="18"/>
        </w:rPr>
        <w:t>[indicare l’altra lingua]</w:t>
      </w:r>
      <w:r w:rsidRPr="00331E4A">
        <w:rPr>
          <w:rFonts w:ascii="Titillium" w:hAnsi="Titillium" w:cs="Calibri"/>
          <w:i/>
          <w:sz w:val="18"/>
          <w:szCs w:val="18"/>
        </w:rPr>
        <w:t>.</w:t>
      </w:r>
    </w:p>
    <w:p w14:paraId="40FDC326" w14:textId="4744DB8F" w:rsidR="004C53A8" w:rsidRDefault="00F25D3D">
      <w:pPr>
        <w:spacing w:before="60" w:after="60"/>
      </w:pPr>
      <w:r>
        <w:rPr>
          <w:rFonts w:ascii="Titillium" w:hAnsi="Titillium" w:cs="Calibri"/>
          <w:sz w:val="18"/>
          <w:szCs w:val="18"/>
        </w:rPr>
        <w:t>L</w:t>
      </w:r>
      <w:r w:rsidR="00870286">
        <w:rPr>
          <w:rFonts w:ascii="Titillium" w:hAnsi="Titillium" w:cs="Calibri"/>
          <w:sz w:val="18"/>
          <w:szCs w:val="18"/>
        </w:rPr>
        <w:t>e risposte a</w:t>
      </w:r>
      <w:r>
        <w:rPr>
          <w:rFonts w:ascii="Titillium" w:hAnsi="Titillium" w:cs="Calibri"/>
          <w:sz w:val="18"/>
          <w:szCs w:val="18"/>
        </w:rPr>
        <w:t xml:space="preserve">lle </w:t>
      </w:r>
      <w:r w:rsidR="00870286">
        <w:rPr>
          <w:rFonts w:ascii="Titillium" w:hAnsi="Titillium" w:cs="Calibri"/>
          <w:sz w:val="18"/>
          <w:szCs w:val="18"/>
        </w:rPr>
        <w:t xml:space="preserve">richieste </w:t>
      </w:r>
      <w:r>
        <w:rPr>
          <w:rFonts w:ascii="Titillium" w:hAnsi="Titillium" w:cs="Calibri"/>
          <w:sz w:val="18"/>
          <w:szCs w:val="18"/>
        </w:rPr>
        <w:t xml:space="preserve">di chiarimenti </w:t>
      </w:r>
      <w:r w:rsidR="00870286">
        <w:rPr>
          <w:rFonts w:ascii="Titillium" w:hAnsi="Titillium" w:cs="Calibri"/>
          <w:sz w:val="18"/>
          <w:szCs w:val="18"/>
        </w:rPr>
        <w:t xml:space="preserve">presentate in tempo utile sono fornite in formato elettronico almeno </w:t>
      </w:r>
      <w:r w:rsidR="00CF0C59">
        <w:rPr>
          <w:rFonts w:ascii="Titillium" w:hAnsi="Titillium" w:cs="Calibri"/>
          <w:sz w:val="18"/>
          <w:szCs w:val="18"/>
        </w:rPr>
        <w:t xml:space="preserve">6 giorni </w:t>
      </w:r>
      <w:r w:rsidR="006F6EA9" w:rsidRPr="00F570C2">
        <w:rPr>
          <w:rFonts w:ascii="Titillium" w:hAnsi="Titillium" w:cs="Calibri"/>
          <w:b/>
          <w:i/>
          <w:sz w:val="18"/>
          <w:szCs w:val="18"/>
        </w:rPr>
        <w:t>[</w:t>
      </w:r>
      <w:r w:rsidR="00CF0C59" w:rsidRPr="00F570C2">
        <w:rPr>
          <w:rFonts w:ascii="Titillium" w:hAnsi="Titillium" w:cs="Calibri"/>
          <w:b/>
          <w:bCs/>
          <w:i/>
          <w:sz w:val="18"/>
          <w:szCs w:val="18"/>
        </w:rPr>
        <w:t>o in alternativa</w:t>
      </w:r>
      <w:r w:rsidR="00CF0C59" w:rsidRPr="00F570C2">
        <w:rPr>
          <w:rFonts w:ascii="Titillium" w:hAnsi="Titillium" w:cs="Calibri"/>
          <w:b/>
          <w:i/>
          <w:sz w:val="18"/>
          <w:szCs w:val="18"/>
        </w:rPr>
        <w:t xml:space="preserve"> </w:t>
      </w:r>
      <w:r w:rsidR="006F6EA9" w:rsidRPr="00F570C2">
        <w:rPr>
          <w:rFonts w:ascii="Titillium" w:hAnsi="Titillium" w:cs="Calibri"/>
          <w:i/>
          <w:sz w:val="18"/>
          <w:szCs w:val="18"/>
        </w:rPr>
        <w:t xml:space="preserve">4 giorni, </w:t>
      </w:r>
      <w:r w:rsidR="00CF0C59" w:rsidRPr="00F570C2">
        <w:rPr>
          <w:rFonts w:ascii="Titillium" w:hAnsi="Titillium" w:cs="Calibri"/>
          <w:i/>
          <w:sz w:val="18"/>
          <w:szCs w:val="18"/>
        </w:rPr>
        <w:t>per le procedure accelerate, tra le quali quelle dell’articolo 8, comma 1, lettera c) del decreto legge n. 76/2</w:t>
      </w:r>
      <w:r w:rsidR="006F6EA9" w:rsidRPr="00F570C2">
        <w:rPr>
          <w:rFonts w:ascii="Titillium" w:hAnsi="Titillium" w:cs="Calibri"/>
          <w:i/>
          <w:sz w:val="18"/>
          <w:szCs w:val="18"/>
        </w:rPr>
        <w:t>0</w:t>
      </w:r>
      <w:r w:rsidR="006F6EA9" w:rsidRPr="00F570C2">
        <w:rPr>
          <w:rFonts w:ascii="Titillium" w:hAnsi="Titillium" w:cs="Calibri"/>
          <w:b/>
          <w:i/>
          <w:sz w:val="18"/>
          <w:szCs w:val="18"/>
        </w:rPr>
        <w:t>]</w:t>
      </w:r>
      <w:r w:rsidR="00CF0C59">
        <w:rPr>
          <w:rFonts w:ascii="Titillium" w:hAnsi="Titillium" w:cs="Calibri"/>
          <w:sz w:val="18"/>
          <w:szCs w:val="18"/>
        </w:rPr>
        <w:t xml:space="preserve"> </w:t>
      </w:r>
      <w:r w:rsidR="00870286">
        <w:rPr>
          <w:rFonts w:ascii="Titillium" w:hAnsi="Titillium" w:cs="Calibri"/>
          <w:sz w:val="18"/>
          <w:szCs w:val="18"/>
        </w:rPr>
        <w:t>prima della scadenza del termine fissato per la presentazione delle offerte, mediante pubblicazione</w:t>
      </w:r>
      <w:r w:rsidR="00CD43C4">
        <w:rPr>
          <w:rFonts w:ascii="Titillium" w:hAnsi="Titillium" w:cs="Calibri"/>
          <w:sz w:val="18"/>
          <w:szCs w:val="18"/>
        </w:rPr>
        <w:t xml:space="preserve"> delle richieste </w:t>
      </w:r>
      <w:r w:rsidR="00870286">
        <w:rPr>
          <w:rFonts w:ascii="Titillium" w:hAnsi="Titillium" w:cs="Calibri"/>
          <w:sz w:val="18"/>
          <w:szCs w:val="18"/>
        </w:rPr>
        <w:t xml:space="preserve">in forma anonima </w:t>
      </w:r>
      <w:r w:rsidR="00CD43C4">
        <w:rPr>
          <w:rFonts w:ascii="Titillium" w:hAnsi="Titillium" w:cs="Calibri"/>
          <w:sz w:val="18"/>
          <w:szCs w:val="18"/>
        </w:rPr>
        <w:t xml:space="preserve">e delle relative risposte </w:t>
      </w:r>
      <w:r w:rsidR="00870286">
        <w:rPr>
          <w:rFonts w:ascii="Titillium" w:hAnsi="Titillium" w:cs="Calibri"/>
          <w:sz w:val="18"/>
          <w:szCs w:val="18"/>
        </w:rPr>
        <w:t>sulla Piattaforma</w:t>
      </w:r>
      <w:r w:rsidR="00CD43C4">
        <w:rPr>
          <w:rFonts w:ascii="Titillium" w:hAnsi="Titillium" w:cs="Calibri"/>
          <w:sz w:val="18"/>
          <w:szCs w:val="18"/>
        </w:rPr>
        <w:t xml:space="preserve"> </w:t>
      </w:r>
      <w:r w:rsidR="00870286">
        <w:rPr>
          <w:rFonts w:ascii="Titillium" w:hAnsi="Titillium" w:cs="Calibri"/>
          <w:sz w:val="18"/>
          <w:szCs w:val="18"/>
        </w:rPr>
        <w:t xml:space="preserve">… </w:t>
      </w:r>
      <w:r w:rsidR="00870286">
        <w:rPr>
          <w:rFonts w:ascii="Titillium" w:hAnsi="Titillium" w:cs="Calibri"/>
          <w:i/>
          <w:sz w:val="18"/>
          <w:szCs w:val="18"/>
        </w:rPr>
        <w:t xml:space="preserve">[indicare </w:t>
      </w:r>
      <w:r>
        <w:rPr>
          <w:rFonts w:ascii="Titillium" w:hAnsi="Titillium" w:cs="Calibri"/>
          <w:i/>
          <w:sz w:val="18"/>
          <w:szCs w:val="18"/>
        </w:rPr>
        <w:t>l’apposita sezione</w:t>
      </w:r>
      <w:r w:rsidR="00870286">
        <w:rPr>
          <w:rFonts w:ascii="Titillium" w:hAnsi="Titillium" w:cs="Calibri"/>
          <w:i/>
          <w:sz w:val="18"/>
          <w:szCs w:val="18"/>
        </w:rPr>
        <w:t>]</w:t>
      </w:r>
      <w:r w:rsidR="00870286">
        <w:rPr>
          <w:rFonts w:ascii="Titillium" w:hAnsi="Titillium" w:cs="Calibri"/>
          <w:sz w:val="18"/>
          <w:szCs w:val="18"/>
        </w:rPr>
        <w:t xml:space="preserve"> e sul sito istituzionale ... </w:t>
      </w:r>
      <w:r w:rsidR="00870286">
        <w:rPr>
          <w:rFonts w:ascii="Titillium" w:hAnsi="Titillium" w:cs="Calibri"/>
          <w:i/>
          <w:sz w:val="18"/>
          <w:szCs w:val="18"/>
        </w:rPr>
        <w:t>[indicare il link dal quale è possibile consultare i chiarimenti]</w:t>
      </w:r>
      <w:r w:rsidR="00870286">
        <w:rPr>
          <w:rFonts w:ascii="Titillium" w:hAnsi="Titillium" w:cs="Calibri"/>
          <w:sz w:val="18"/>
          <w:szCs w:val="18"/>
        </w:rPr>
        <w:t>.</w:t>
      </w:r>
      <w:r w:rsidR="00870286">
        <w:rPr>
          <w:rFonts w:ascii="Titillium" w:hAnsi="Titillium" w:cs="Calibri"/>
          <w:b/>
          <w:sz w:val="18"/>
          <w:szCs w:val="18"/>
        </w:rPr>
        <w:t xml:space="preserve"> </w:t>
      </w:r>
      <w:r w:rsidR="00870286">
        <w:rPr>
          <w:rFonts w:ascii="Titillium" w:hAnsi="Titillium" w:cs="Calibri"/>
          <w:sz w:val="18"/>
          <w:szCs w:val="18"/>
        </w:rPr>
        <w:t xml:space="preserve">Si invitano i concorrenti a visionare costantemente tale </w:t>
      </w:r>
      <w:r w:rsidR="00235BC8">
        <w:rPr>
          <w:rFonts w:ascii="Titillium" w:hAnsi="Titillium" w:cs="Calibri"/>
          <w:sz w:val="18"/>
          <w:szCs w:val="18"/>
        </w:rPr>
        <w:t>sezione della</w:t>
      </w:r>
      <w:r w:rsidR="00870286">
        <w:rPr>
          <w:rFonts w:ascii="Titillium" w:hAnsi="Titillium" w:cs="Calibri"/>
          <w:sz w:val="18"/>
          <w:szCs w:val="18"/>
        </w:rPr>
        <w:t xml:space="preserve"> Piattaforma </w:t>
      </w:r>
      <w:r w:rsidR="00870286" w:rsidRPr="00954345">
        <w:rPr>
          <w:rFonts w:ascii="Titillium" w:hAnsi="Titillium" w:cs="Calibri"/>
          <w:sz w:val="18"/>
          <w:szCs w:val="18"/>
        </w:rPr>
        <w:t>o il sito istituzionale</w:t>
      </w:r>
      <w:r w:rsidR="00870286">
        <w:rPr>
          <w:rFonts w:ascii="Titillium" w:hAnsi="Titillium" w:cs="Calibri"/>
          <w:sz w:val="18"/>
          <w:szCs w:val="18"/>
        </w:rPr>
        <w:t>.</w:t>
      </w:r>
    </w:p>
    <w:p w14:paraId="35BEF1BB" w14:textId="77777777" w:rsidR="00EC6709" w:rsidRDefault="00EC6709">
      <w:pPr>
        <w:spacing w:before="60" w:after="60"/>
        <w:rPr>
          <w:rFonts w:ascii="Titillium" w:hAnsi="Titillium" w:cs="Calibri"/>
          <w:sz w:val="18"/>
          <w:szCs w:val="18"/>
        </w:rPr>
      </w:pPr>
      <w:r w:rsidRPr="00840480">
        <w:rPr>
          <w:rFonts w:ascii="Titillium" w:hAnsi="Titillium" w:cs="Calibri"/>
          <w:b/>
          <w:i/>
          <w:sz w:val="18"/>
          <w:szCs w:val="18"/>
        </w:rPr>
        <w:t>[Eventuale, se la Piattaforma lo consente</w:t>
      </w:r>
      <w:r w:rsidRPr="00840480">
        <w:rPr>
          <w:rFonts w:ascii="Titillium" w:hAnsi="Titillium" w:cs="Calibri"/>
          <w:b/>
          <w:sz w:val="18"/>
          <w:szCs w:val="18"/>
        </w:rPr>
        <w:t xml:space="preserve">] </w:t>
      </w:r>
      <w:r>
        <w:rPr>
          <w:rFonts w:ascii="Titillium" w:hAnsi="Titillium" w:cs="Calibri"/>
          <w:sz w:val="18"/>
          <w:szCs w:val="18"/>
        </w:rPr>
        <w:t xml:space="preserve">La Piattaforma invia automaticamente agli operatori economici una segnalazione di avviso. </w:t>
      </w:r>
    </w:p>
    <w:p w14:paraId="62344EC9" w14:textId="4E80941D" w:rsidR="004C53A8" w:rsidRDefault="00870286">
      <w:pPr>
        <w:spacing w:before="60" w:after="60"/>
        <w:rPr>
          <w:rFonts w:ascii="Titillium" w:hAnsi="Titillium" w:cs="Calibri"/>
          <w:sz w:val="18"/>
          <w:szCs w:val="18"/>
        </w:rPr>
      </w:pPr>
      <w:r>
        <w:rPr>
          <w:rFonts w:ascii="Titillium" w:hAnsi="Titillium" w:cs="Calibri"/>
          <w:sz w:val="18"/>
          <w:szCs w:val="18"/>
        </w:rPr>
        <w:t>Non viene fornita risposta alle richieste presentate con modalità diverse da quelle sopra indicate.</w:t>
      </w:r>
    </w:p>
    <w:p w14:paraId="0BBF67E3"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4E440B17" w14:textId="77777777">
        <w:tc>
          <w:tcPr>
            <w:tcW w:w="9210" w:type="dxa"/>
            <w:tcBorders>
              <w:top w:val="single" w:sz="4" w:space="0" w:color="000000"/>
              <w:left w:val="single" w:sz="4" w:space="0" w:color="000000"/>
              <w:bottom w:val="single" w:sz="4" w:space="0" w:color="000000"/>
              <w:right w:val="single" w:sz="4" w:space="0" w:color="000000"/>
            </w:tcBorders>
          </w:tcPr>
          <w:p w14:paraId="49013466" w14:textId="50EBCE98" w:rsidR="004C53A8" w:rsidRDefault="00870286" w:rsidP="001B7E2D">
            <w:pPr>
              <w:spacing w:before="60" w:after="60"/>
              <w:rPr>
                <w:rFonts w:ascii="Titillium" w:hAnsi="Titillium" w:cs="Calibri"/>
                <w:i/>
                <w:sz w:val="18"/>
                <w:szCs w:val="18"/>
              </w:rPr>
            </w:pPr>
            <w:r>
              <w:rPr>
                <w:rFonts w:ascii="Titillium" w:hAnsi="Titillium" w:cs="Calibri"/>
                <w:i/>
                <w:sz w:val="18"/>
                <w:szCs w:val="18"/>
              </w:rPr>
              <w:t xml:space="preserve">N.B. </w:t>
            </w:r>
            <w:r w:rsidR="001B7E2D">
              <w:rPr>
                <w:rFonts w:ascii="Titillium" w:hAnsi="Titillium" w:cs="Calibri"/>
                <w:i/>
                <w:sz w:val="18"/>
                <w:szCs w:val="18"/>
              </w:rPr>
              <w:t>I</w:t>
            </w:r>
            <w:r>
              <w:rPr>
                <w:rFonts w:ascii="Titillium" w:hAnsi="Titillium" w:cs="Calibri"/>
                <w:i/>
                <w:sz w:val="18"/>
                <w:szCs w:val="18"/>
              </w:rPr>
              <w:t>n caso di appalti particolarmente complessi sotto il profilo tecnico, la stazione appaltante può stabilire un termine di risposta alle richieste di chiarimenti ant</w:t>
            </w:r>
            <w:r w:rsidR="00672998">
              <w:rPr>
                <w:rFonts w:ascii="Titillium" w:hAnsi="Titillium" w:cs="Calibri"/>
                <w:i/>
                <w:sz w:val="18"/>
                <w:szCs w:val="18"/>
              </w:rPr>
              <w:t>icipato rispetto a</w:t>
            </w:r>
            <w:r>
              <w:rPr>
                <w:rFonts w:ascii="Titillium" w:hAnsi="Titillium" w:cs="Calibri"/>
                <w:i/>
                <w:sz w:val="18"/>
                <w:szCs w:val="18"/>
              </w:rPr>
              <w:t xml:space="preserve"> quello minimo di sei giorni imposto dalla norma</w:t>
            </w:r>
            <w:r w:rsidR="00672998">
              <w:rPr>
                <w:rFonts w:ascii="Titillium" w:hAnsi="Titillium" w:cs="Calibri"/>
                <w:i/>
                <w:sz w:val="18"/>
                <w:szCs w:val="18"/>
              </w:rPr>
              <w:t xml:space="preserve"> (ad esempio 7, 8, giorni prima della scadenza del termine di presentazione dell’offerta)</w:t>
            </w:r>
            <w:r>
              <w:rPr>
                <w:rFonts w:ascii="Titillium" w:hAnsi="Titillium" w:cs="Calibri"/>
                <w:i/>
                <w:sz w:val="18"/>
                <w:szCs w:val="18"/>
              </w:rPr>
              <w:t xml:space="preserve">, adeguando </w:t>
            </w:r>
            <w:r w:rsidR="00672998">
              <w:rPr>
                <w:rFonts w:ascii="Titillium" w:hAnsi="Titillium" w:cs="Calibri"/>
                <w:i/>
                <w:sz w:val="18"/>
                <w:szCs w:val="18"/>
              </w:rPr>
              <w:t xml:space="preserve">contestualmente </w:t>
            </w:r>
            <w:r>
              <w:rPr>
                <w:rFonts w:ascii="Titillium" w:hAnsi="Titillium" w:cs="Calibri"/>
                <w:i/>
                <w:sz w:val="18"/>
                <w:szCs w:val="18"/>
              </w:rPr>
              <w:t xml:space="preserve">il termine per la proposizione delle richieste di chiarimento. </w:t>
            </w:r>
          </w:p>
        </w:tc>
      </w:tr>
    </w:tbl>
    <w:p w14:paraId="236A49A0" w14:textId="77777777" w:rsidR="004C53A8" w:rsidRDefault="004C53A8">
      <w:pPr>
        <w:spacing w:before="60" w:after="60"/>
        <w:rPr>
          <w:rFonts w:ascii="Titillium" w:hAnsi="Titillium" w:cs="Calibri"/>
          <w:sz w:val="18"/>
          <w:szCs w:val="18"/>
        </w:rPr>
      </w:pPr>
    </w:p>
    <w:p w14:paraId="3F97318D" w14:textId="7F57A073" w:rsidR="004C53A8" w:rsidRDefault="004C667D">
      <w:pPr>
        <w:pStyle w:val="Titolo3"/>
        <w:numPr>
          <w:ilvl w:val="1"/>
          <w:numId w:val="4"/>
        </w:numPr>
        <w:ind w:left="426" w:hanging="426"/>
      </w:pPr>
      <w:bookmarkStart w:id="164" w:name="_Ref495492927"/>
      <w:bookmarkStart w:id="165" w:name="_Ref495492879"/>
      <w:bookmarkStart w:id="166" w:name="_Toc95495880"/>
      <w:r>
        <w:rPr>
          <w:rFonts w:ascii="Titillium" w:hAnsi="Titillium"/>
          <w:caps w:val="0"/>
          <w:sz w:val="18"/>
          <w:szCs w:val="18"/>
          <w:lang w:val="it-IT"/>
        </w:rPr>
        <w:lastRenderedPageBreak/>
        <w:t>C</w:t>
      </w:r>
      <w:r>
        <w:rPr>
          <w:rFonts w:ascii="Titillium" w:hAnsi="Titillium"/>
          <w:caps w:val="0"/>
          <w:sz w:val="18"/>
          <w:szCs w:val="18"/>
        </w:rPr>
        <w:t>OMUNICAZIONI</w:t>
      </w:r>
      <w:bookmarkEnd w:id="164"/>
      <w:bookmarkEnd w:id="165"/>
      <w:bookmarkEnd w:id="166"/>
    </w:p>
    <w:p w14:paraId="2654D16E" w14:textId="46EB5AFA" w:rsidR="004C53A8" w:rsidRDefault="00870286">
      <w:pPr>
        <w:spacing w:before="60" w:after="60"/>
        <w:rPr>
          <w:rFonts w:ascii="Titillium" w:hAnsi="Titillium" w:cs="Calibri"/>
          <w:sz w:val="18"/>
          <w:szCs w:val="18"/>
        </w:rPr>
      </w:pPr>
      <w:r>
        <w:rPr>
          <w:rFonts w:ascii="Titillium" w:hAnsi="Titillium" w:cs="Calibri"/>
          <w:sz w:val="18"/>
          <w:szCs w:val="18"/>
        </w:rPr>
        <w:t>Tutte le comunicazioni e gli scambi di informazioni di cui alla presente procedura sono eseguiti utilizzando mezzi di comunicazione elettronici</w:t>
      </w:r>
      <w:r w:rsidR="00373F22">
        <w:rPr>
          <w:rFonts w:ascii="Titillium" w:hAnsi="Titillium" w:cs="Calibri"/>
          <w:sz w:val="18"/>
          <w:szCs w:val="18"/>
        </w:rPr>
        <w:t>.</w:t>
      </w:r>
    </w:p>
    <w:p w14:paraId="1EF32F52" w14:textId="29C367A3" w:rsidR="004C53A8" w:rsidRDefault="001F63D3">
      <w:pPr>
        <w:spacing w:before="60" w:after="60"/>
      </w:pPr>
      <w:r>
        <w:rPr>
          <w:rFonts w:ascii="Titillium" w:hAnsi="Titillium" w:cs="Calibri"/>
          <w:sz w:val="18"/>
          <w:szCs w:val="18"/>
        </w:rPr>
        <w:t>L</w:t>
      </w:r>
      <w:r w:rsidR="00870286">
        <w:rPr>
          <w:rFonts w:ascii="Titillium" w:hAnsi="Titillium" w:cs="Calibri"/>
          <w:sz w:val="18"/>
          <w:szCs w:val="18"/>
        </w:rPr>
        <w:t>e comunicazioni tra stazione appaltante e operatori economici avvengono</w:t>
      </w:r>
      <w:r w:rsidR="00870286">
        <w:rPr>
          <w:rFonts w:ascii="Titillium" w:hAnsi="Titillium"/>
        </w:rPr>
        <w:t xml:space="preserve"> </w:t>
      </w:r>
      <w:r w:rsidR="00870286">
        <w:rPr>
          <w:rFonts w:ascii="Titillium" w:hAnsi="Titillium"/>
          <w:sz w:val="18"/>
          <w:szCs w:val="18"/>
        </w:rPr>
        <w:t>tramite la</w:t>
      </w:r>
      <w:r w:rsidR="00870286">
        <w:rPr>
          <w:rFonts w:ascii="Titillium" w:hAnsi="Titillium" w:cs="Calibri"/>
          <w:sz w:val="18"/>
          <w:szCs w:val="18"/>
        </w:rPr>
        <w:t xml:space="preserve"> Piattaforma e sono accessibili nella ...</w:t>
      </w:r>
      <w:r w:rsidR="00870286">
        <w:rPr>
          <w:rFonts w:ascii="Titillium" w:hAnsi="Titillium" w:cs="Calibri"/>
          <w:i/>
          <w:sz w:val="18"/>
          <w:szCs w:val="18"/>
        </w:rPr>
        <w:t xml:space="preserve"> [</w:t>
      </w:r>
      <w:r w:rsidR="00BA6CB0">
        <w:rPr>
          <w:rFonts w:ascii="Titillium" w:hAnsi="Titillium" w:cs="Calibri"/>
          <w:i/>
          <w:sz w:val="18"/>
          <w:szCs w:val="18"/>
        </w:rPr>
        <w:t xml:space="preserve">indicare l’apposita sezione della Piattaforma </w:t>
      </w:r>
      <w:r w:rsidR="00870286">
        <w:rPr>
          <w:rFonts w:ascii="Titillium" w:hAnsi="Titillium" w:cs="Calibri"/>
          <w:i/>
          <w:sz w:val="18"/>
          <w:szCs w:val="18"/>
        </w:rPr>
        <w:t>ove sono accessibili le comunicazioni e gli scambi di informazione]</w:t>
      </w:r>
      <w:r w:rsidR="00870286">
        <w:rPr>
          <w:rFonts w:ascii="Titillium" w:hAnsi="Titillium" w:cs="Calibri"/>
          <w:sz w:val="18"/>
          <w:szCs w:val="18"/>
        </w:rPr>
        <w:t xml:space="preserve">. </w:t>
      </w:r>
      <w:r w:rsidR="006F6EA9">
        <w:rPr>
          <w:rFonts w:ascii="Titillium" w:hAnsi="Titillium" w:cs="Calibri"/>
          <w:sz w:val="18"/>
          <w:szCs w:val="18"/>
        </w:rPr>
        <w:t xml:space="preserve">È </w:t>
      </w:r>
      <w:r w:rsidR="00870286">
        <w:rPr>
          <w:rFonts w:ascii="Titillium" w:hAnsi="Titillium" w:cs="Calibri"/>
          <w:sz w:val="18"/>
          <w:szCs w:val="18"/>
        </w:rPr>
        <w:t>onere esclusivo dell’operatore economico prenderne visione</w:t>
      </w:r>
      <w:r w:rsidR="00954345">
        <w:rPr>
          <w:rFonts w:ascii="Titillium" w:hAnsi="Titillium" w:cs="Calibri"/>
          <w:sz w:val="18"/>
          <w:szCs w:val="18"/>
        </w:rPr>
        <w:t>.</w:t>
      </w:r>
      <w:r w:rsidR="00CD43C4">
        <w:rPr>
          <w:rFonts w:ascii="Titillium" w:hAnsi="Titillium" w:cs="Calibri"/>
          <w:sz w:val="18"/>
          <w:szCs w:val="18"/>
        </w:rPr>
        <w:t xml:space="preserve"> </w:t>
      </w:r>
      <w:r w:rsidR="00CD43C4" w:rsidRPr="00F40249">
        <w:rPr>
          <w:rFonts w:ascii="Titillium" w:hAnsi="Titillium" w:cs="Calibri"/>
          <w:i/>
          <w:sz w:val="18"/>
          <w:szCs w:val="18"/>
        </w:rPr>
        <w:t>[Eventuale, se la Piattaforma lo consente</w:t>
      </w:r>
      <w:r w:rsidR="00CD43C4">
        <w:rPr>
          <w:rFonts w:ascii="Titillium" w:hAnsi="Titillium" w:cs="Calibri"/>
          <w:sz w:val="18"/>
          <w:szCs w:val="18"/>
        </w:rPr>
        <w:t>] La Piattaforma invia automaticamente agli operatori economici una segnalazione di avviso</w:t>
      </w:r>
      <w:r w:rsidR="00870286">
        <w:rPr>
          <w:rFonts w:ascii="Titillium" w:hAnsi="Titillium" w:cs="Calibri"/>
          <w:sz w:val="18"/>
          <w:szCs w:val="18"/>
        </w:rPr>
        <w:t>.</w:t>
      </w:r>
      <w:r w:rsidR="00CB3F05">
        <w:rPr>
          <w:rFonts w:ascii="Titillium" w:hAnsi="Titillium" w:cs="Calibri"/>
          <w:sz w:val="18"/>
          <w:szCs w:val="18"/>
        </w:rPr>
        <w:t xml:space="preserve"> </w:t>
      </w:r>
    </w:p>
    <w:p w14:paraId="1394CD43" w14:textId="63F9119B" w:rsidR="00AB22F3" w:rsidRDefault="00870286" w:rsidP="00A066C2">
      <w:pPr>
        <w:spacing w:before="60" w:after="60"/>
        <w:rPr>
          <w:rFonts w:ascii="Titillium" w:hAnsi="Titillium"/>
          <w:sz w:val="18"/>
          <w:szCs w:val="18"/>
        </w:rPr>
      </w:pPr>
      <w:r>
        <w:rPr>
          <w:rFonts w:ascii="Titillium" w:hAnsi="Titillium" w:cs="Calibri"/>
          <w:sz w:val="18"/>
          <w:szCs w:val="18"/>
        </w:rPr>
        <w:t xml:space="preserve">Le comunicazioni </w:t>
      </w:r>
      <w:r w:rsidR="00A066C2">
        <w:rPr>
          <w:rFonts w:ascii="Titillium" w:hAnsi="Titillium" w:cs="Calibri"/>
          <w:sz w:val="18"/>
          <w:szCs w:val="18"/>
        </w:rPr>
        <w:t xml:space="preserve"> relative: </w:t>
      </w:r>
      <w:r w:rsidR="00A066C2" w:rsidRPr="00A066C2">
        <w:rPr>
          <w:rFonts w:ascii="Titillium" w:hAnsi="Titillium" w:cs="Calibri"/>
          <w:sz w:val="18"/>
          <w:szCs w:val="18"/>
        </w:rPr>
        <w:t>a)</w:t>
      </w:r>
      <w:r w:rsidR="00A066C2">
        <w:rPr>
          <w:rFonts w:ascii="Titillium" w:hAnsi="Titillium" w:cs="Calibri"/>
          <w:sz w:val="18"/>
          <w:szCs w:val="18"/>
        </w:rPr>
        <w:t xml:space="preserve"> al</w:t>
      </w:r>
      <w:r w:rsidR="00A066C2" w:rsidRPr="00A066C2">
        <w:rPr>
          <w:rFonts w:ascii="Titillium" w:hAnsi="Titillium" w:cs="Calibri"/>
          <w:sz w:val="18"/>
          <w:szCs w:val="18"/>
        </w:rPr>
        <w:t>l'aggiudicazion</w:t>
      </w:r>
      <w:r w:rsidR="00F36360">
        <w:rPr>
          <w:rFonts w:ascii="Titillium" w:hAnsi="Titillium" w:cs="Calibri"/>
          <w:sz w:val="18"/>
          <w:szCs w:val="18"/>
        </w:rPr>
        <w:t>e;</w:t>
      </w:r>
      <w:r w:rsidR="00A066C2" w:rsidRPr="00A066C2">
        <w:rPr>
          <w:rFonts w:ascii="Titillium" w:hAnsi="Titillium" w:cs="Calibri"/>
          <w:sz w:val="18"/>
          <w:szCs w:val="18"/>
        </w:rPr>
        <w:t xml:space="preserve"> b) </w:t>
      </w:r>
      <w:r w:rsidR="00A066C2">
        <w:rPr>
          <w:rFonts w:ascii="Titillium" w:hAnsi="Titillium" w:cs="Calibri"/>
          <w:sz w:val="18"/>
          <w:szCs w:val="18"/>
        </w:rPr>
        <w:t>al</w:t>
      </w:r>
      <w:r w:rsidR="00A066C2" w:rsidRPr="00A066C2">
        <w:rPr>
          <w:rFonts w:ascii="Titillium" w:hAnsi="Titillium" w:cs="Calibri"/>
          <w:sz w:val="18"/>
          <w:szCs w:val="18"/>
        </w:rPr>
        <w:t>l'esclusione;</w:t>
      </w:r>
      <w:r w:rsidR="00A066C2">
        <w:rPr>
          <w:rFonts w:ascii="Titillium" w:hAnsi="Titillium" w:cs="Calibri"/>
          <w:sz w:val="18"/>
          <w:szCs w:val="18"/>
        </w:rPr>
        <w:t xml:space="preserve"> </w:t>
      </w:r>
      <w:r w:rsidR="00A066C2" w:rsidRPr="00A066C2">
        <w:rPr>
          <w:rFonts w:ascii="Titillium" w:hAnsi="Titillium" w:cs="Calibri"/>
          <w:sz w:val="18"/>
          <w:szCs w:val="18"/>
        </w:rPr>
        <w:t>c)</w:t>
      </w:r>
      <w:r w:rsidR="00A066C2">
        <w:rPr>
          <w:rFonts w:ascii="Titillium" w:hAnsi="Titillium" w:cs="Calibri"/>
          <w:sz w:val="18"/>
          <w:szCs w:val="18"/>
        </w:rPr>
        <w:t xml:space="preserve"> al</w:t>
      </w:r>
      <w:r w:rsidR="00A066C2" w:rsidRPr="00A066C2">
        <w:rPr>
          <w:rFonts w:ascii="Titillium" w:hAnsi="Titillium" w:cs="Calibri"/>
          <w:sz w:val="18"/>
          <w:szCs w:val="18"/>
        </w:rPr>
        <w:t xml:space="preserve">la decisione di non aggiudicare </w:t>
      </w:r>
      <w:r w:rsidR="00F36360">
        <w:rPr>
          <w:rFonts w:ascii="Titillium" w:hAnsi="Titillium" w:cs="Calibri"/>
          <w:sz w:val="18"/>
          <w:szCs w:val="18"/>
        </w:rPr>
        <w:t>l’</w:t>
      </w:r>
      <w:r w:rsidR="00A066C2" w:rsidRPr="00A066C2">
        <w:rPr>
          <w:rFonts w:ascii="Titillium" w:hAnsi="Titillium" w:cs="Calibri"/>
          <w:sz w:val="18"/>
          <w:szCs w:val="18"/>
        </w:rPr>
        <w:t xml:space="preserve"> appalto;</w:t>
      </w:r>
      <w:r w:rsidR="00A066C2">
        <w:rPr>
          <w:rFonts w:ascii="Titillium" w:hAnsi="Titillium" w:cs="Calibri"/>
          <w:sz w:val="18"/>
          <w:szCs w:val="18"/>
        </w:rPr>
        <w:t xml:space="preserve"> d) al</w:t>
      </w:r>
      <w:r w:rsidR="00A066C2" w:rsidRPr="00A066C2">
        <w:rPr>
          <w:rFonts w:ascii="Titillium" w:hAnsi="Titillium" w:cs="Calibri"/>
          <w:sz w:val="18"/>
          <w:szCs w:val="18"/>
        </w:rPr>
        <w:t>la data di avvenuta stipulazione del contratto con l'aggiudicatario</w:t>
      </w:r>
      <w:r w:rsidR="00FA595A">
        <w:rPr>
          <w:rFonts w:ascii="Titillium" w:hAnsi="Titillium" w:cs="Calibri"/>
          <w:sz w:val="18"/>
          <w:szCs w:val="18"/>
        </w:rPr>
        <w:t xml:space="preserve">; e) </w:t>
      </w:r>
      <w:r w:rsidR="00A066C2" w:rsidDel="00A066C2">
        <w:rPr>
          <w:rFonts w:ascii="Titillium" w:hAnsi="Titillium" w:cs="Calibri"/>
          <w:sz w:val="18"/>
          <w:szCs w:val="18"/>
        </w:rPr>
        <w:t xml:space="preserve"> </w:t>
      </w:r>
      <w:r w:rsidR="00FA595A" w:rsidRPr="00FA595A">
        <w:rPr>
          <w:rFonts w:ascii="Titillium" w:hAnsi="Titillium" w:cs="Calibri"/>
          <w:sz w:val="18"/>
          <w:szCs w:val="18"/>
        </w:rPr>
        <w:t>all’attivazione del soccorso istruttorio</w:t>
      </w:r>
      <w:r w:rsidR="00FA595A">
        <w:rPr>
          <w:rFonts w:ascii="Titillium" w:hAnsi="Titillium" w:cs="Calibri"/>
          <w:sz w:val="18"/>
          <w:szCs w:val="18"/>
        </w:rPr>
        <w:t xml:space="preserve">; f) </w:t>
      </w:r>
      <w:r w:rsidR="00FA595A" w:rsidRPr="00FA595A">
        <w:rPr>
          <w:rFonts w:ascii="Titillium" w:hAnsi="Titillium" w:cs="Calibri"/>
          <w:sz w:val="18"/>
          <w:szCs w:val="18"/>
        </w:rPr>
        <w:t xml:space="preserve"> al subprocedimento di verifica dell’anomalia dell’offerta anomala</w:t>
      </w:r>
      <w:r w:rsidR="00FA595A">
        <w:rPr>
          <w:rFonts w:ascii="Titillium" w:hAnsi="Titillium" w:cs="Calibri"/>
          <w:sz w:val="18"/>
          <w:szCs w:val="18"/>
        </w:rPr>
        <w:t xml:space="preserve">; g) </w:t>
      </w:r>
      <w:r w:rsidR="00FA595A" w:rsidRPr="00FA595A">
        <w:rPr>
          <w:rFonts w:ascii="Titillium" w:hAnsi="Titillium" w:cs="Calibri"/>
          <w:sz w:val="18"/>
          <w:szCs w:val="18"/>
        </w:rPr>
        <w:t xml:space="preserve"> alla richiesta di offerta migliorativa</w:t>
      </w:r>
      <w:r w:rsidR="008C1761">
        <w:rPr>
          <w:rFonts w:ascii="Titillium" w:hAnsi="Titillium" w:cs="Calibri"/>
          <w:sz w:val="18"/>
          <w:szCs w:val="18"/>
        </w:rPr>
        <w:t xml:space="preserve">; h) </w:t>
      </w:r>
      <w:r w:rsidR="00FA595A" w:rsidRPr="00FA595A">
        <w:rPr>
          <w:rFonts w:ascii="Titillium" w:hAnsi="Titillium" w:cs="Calibri"/>
          <w:sz w:val="18"/>
          <w:szCs w:val="18"/>
        </w:rPr>
        <w:t>al sorteggio di cui all’articolo 21</w:t>
      </w:r>
      <w:r w:rsidR="008C1761">
        <w:rPr>
          <w:rFonts w:ascii="Titillium" w:hAnsi="Titillium" w:cs="Calibri"/>
          <w:sz w:val="18"/>
          <w:szCs w:val="18"/>
        </w:rPr>
        <w:t>;</w:t>
      </w:r>
      <w:r w:rsidR="00FA595A" w:rsidRPr="00FA595A">
        <w:rPr>
          <w:rFonts w:ascii="Titillium" w:hAnsi="Titillium" w:cs="Calibri"/>
          <w:sz w:val="18"/>
          <w:szCs w:val="18"/>
        </w:rPr>
        <w:t xml:space="preserve"> </w:t>
      </w:r>
      <w:r w:rsidR="00BA6CB0">
        <w:rPr>
          <w:rFonts w:ascii="Titillium" w:hAnsi="Titillium" w:cs="Calibri"/>
          <w:sz w:val="18"/>
          <w:szCs w:val="18"/>
        </w:rPr>
        <w:t xml:space="preserve">avvengono utilizzando </w:t>
      </w:r>
      <w:r w:rsidR="00A117A5">
        <w:rPr>
          <w:rFonts w:ascii="Titillium" w:hAnsi="Titillium"/>
          <w:sz w:val="18"/>
          <w:szCs w:val="18"/>
        </w:rPr>
        <w:t>il domicilio digitale presente negli indici di cui agli articoli 6-bis e 6-ter del decreto legislativo n.</w:t>
      </w:r>
      <w:r w:rsidR="00954345">
        <w:rPr>
          <w:rFonts w:ascii="Titillium" w:hAnsi="Titillium"/>
          <w:sz w:val="18"/>
          <w:szCs w:val="18"/>
        </w:rPr>
        <w:t xml:space="preserve"> </w:t>
      </w:r>
      <w:r w:rsidR="00A117A5">
        <w:rPr>
          <w:rFonts w:ascii="Titillium" w:hAnsi="Titillium"/>
          <w:sz w:val="18"/>
          <w:szCs w:val="18"/>
        </w:rPr>
        <w:t xml:space="preserve">82/05 </w:t>
      </w:r>
      <w:r>
        <w:rPr>
          <w:rFonts w:ascii="Titillium" w:hAnsi="Titillium"/>
          <w:sz w:val="18"/>
          <w:szCs w:val="18"/>
        </w:rPr>
        <w:t xml:space="preserve">o, per gli operatori economici transfrontalieri, </w:t>
      </w:r>
      <w:r w:rsidR="00EC6709">
        <w:rPr>
          <w:rFonts w:ascii="Titillium" w:hAnsi="Titillium"/>
          <w:sz w:val="18"/>
          <w:szCs w:val="18"/>
        </w:rPr>
        <w:t xml:space="preserve">attraverso un </w:t>
      </w:r>
      <w:r>
        <w:rPr>
          <w:rFonts w:ascii="Titillium" w:hAnsi="Titillium"/>
          <w:sz w:val="18"/>
          <w:szCs w:val="18"/>
        </w:rPr>
        <w:t>indirizzo di servizio elettronico di recapito certificato qualificato ai sensi del Regolamento eIDAS</w:t>
      </w:r>
      <w:r w:rsidR="00EC6709">
        <w:rPr>
          <w:rFonts w:ascii="Titillium" w:hAnsi="Titillium"/>
          <w:sz w:val="18"/>
          <w:szCs w:val="18"/>
        </w:rPr>
        <w:t>. Se l’operatore economico non è presente nei predetti indici elegge domicilio digitale speciale presso la stessa Piattaforma e le comunicazioni di cui sopra sono effettuate utilizzando tale domicilio digitale</w:t>
      </w:r>
      <w:r>
        <w:rPr>
          <w:rFonts w:ascii="Titillium" w:hAnsi="Titillium"/>
          <w:sz w:val="18"/>
          <w:szCs w:val="18"/>
        </w:rPr>
        <w:t>.</w:t>
      </w:r>
      <w:r w:rsidR="009651A3">
        <w:rPr>
          <w:rFonts w:ascii="Titillium" w:hAnsi="Titillium"/>
          <w:sz w:val="18"/>
          <w:szCs w:val="18"/>
        </w:rPr>
        <w:t xml:space="preserve"> </w:t>
      </w:r>
    </w:p>
    <w:p w14:paraId="5630921F" w14:textId="2D16E327" w:rsidR="00F2262B" w:rsidRDefault="00F2262B" w:rsidP="00A066C2">
      <w:pPr>
        <w:spacing w:before="60" w:after="60"/>
        <w:rPr>
          <w:rFonts w:ascii="Titillium" w:hAnsi="Titillium"/>
          <w:sz w:val="18"/>
          <w:szCs w:val="18"/>
        </w:rPr>
      </w:pPr>
      <w:r w:rsidRPr="00F2262B">
        <w:rPr>
          <w:rFonts w:ascii="Titillium" w:hAnsi="Titillium"/>
          <w:b/>
          <w:i/>
          <w:sz w:val="18"/>
          <w:szCs w:val="18"/>
        </w:rPr>
        <w:t>[In alternativa]</w:t>
      </w:r>
      <w:r>
        <w:rPr>
          <w:rFonts w:ascii="Titillium" w:hAnsi="Titillium"/>
          <w:sz w:val="18"/>
          <w:szCs w:val="18"/>
        </w:rPr>
        <w:t xml:space="preserve"> </w:t>
      </w:r>
      <w:r w:rsidR="008C1761">
        <w:rPr>
          <w:rFonts w:ascii="Titillium" w:hAnsi="Titillium"/>
          <w:sz w:val="18"/>
          <w:szCs w:val="18"/>
        </w:rPr>
        <w:t xml:space="preserve"> </w:t>
      </w:r>
      <w:r w:rsidR="008C1761">
        <w:rPr>
          <w:rFonts w:ascii="Titillium" w:hAnsi="Titillium" w:cs="Calibri"/>
          <w:sz w:val="18"/>
          <w:szCs w:val="18"/>
        </w:rPr>
        <w:t xml:space="preserve">Le </w:t>
      </w:r>
      <w:r w:rsidR="00E11EBF">
        <w:rPr>
          <w:rFonts w:ascii="Titillium" w:hAnsi="Titillium" w:cs="Calibri"/>
          <w:sz w:val="18"/>
          <w:szCs w:val="18"/>
        </w:rPr>
        <w:t>comunicazioni relative</w:t>
      </w:r>
      <w:r w:rsidR="008C1761">
        <w:rPr>
          <w:rFonts w:ascii="Titillium" w:hAnsi="Titillium" w:cs="Calibri"/>
          <w:sz w:val="18"/>
          <w:szCs w:val="18"/>
        </w:rPr>
        <w:t xml:space="preserve">: </w:t>
      </w:r>
      <w:r w:rsidR="008C1761" w:rsidRPr="00A066C2">
        <w:rPr>
          <w:rFonts w:ascii="Titillium" w:hAnsi="Titillium" w:cs="Calibri"/>
          <w:sz w:val="18"/>
          <w:szCs w:val="18"/>
        </w:rPr>
        <w:t>a)</w:t>
      </w:r>
      <w:r w:rsidR="008C1761">
        <w:rPr>
          <w:rFonts w:ascii="Titillium" w:hAnsi="Titillium" w:cs="Calibri"/>
          <w:sz w:val="18"/>
          <w:szCs w:val="18"/>
        </w:rPr>
        <w:t xml:space="preserve"> al</w:t>
      </w:r>
      <w:r w:rsidR="008C1761" w:rsidRPr="00A066C2">
        <w:rPr>
          <w:rFonts w:ascii="Titillium" w:hAnsi="Titillium" w:cs="Calibri"/>
          <w:sz w:val="18"/>
          <w:szCs w:val="18"/>
        </w:rPr>
        <w:t>l'aggiudicazion</w:t>
      </w:r>
      <w:r w:rsidR="008C1761">
        <w:rPr>
          <w:rFonts w:ascii="Titillium" w:hAnsi="Titillium" w:cs="Calibri"/>
          <w:sz w:val="18"/>
          <w:szCs w:val="18"/>
        </w:rPr>
        <w:t>e;</w:t>
      </w:r>
      <w:r w:rsidR="008C1761" w:rsidRPr="00A066C2">
        <w:rPr>
          <w:rFonts w:ascii="Titillium" w:hAnsi="Titillium" w:cs="Calibri"/>
          <w:sz w:val="18"/>
          <w:szCs w:val="18"/>
        </w:rPr>
        <w:t xml:space="preserve"> b) </w:t>
      </w:r>
      <w:r w:rsidR="008C1761">
        <w:rPr>
          <w:rFonts w:ascii="Titillium" w:hAnsi="Titillium" w:cs="Calibri"/>
          <w:sz w:val="18"/>
          <w:szCs w:val="18"/>
        </w:rPr>
        <w:t>al</w:t>
      </w:r>
      <w:r w:rsidR="008C1761" w:rsidRPr="00A066C2">
        <w:rPr>
          <w:rFonts w:ascii="Titillium" w:hAnsi="Titillium" w:cs="Calibri"/>
          <w:sz w:val="18"/>
          <w:szCs w:val="18"/>
        </w:rPr>
        <w:t>l'esclusione;</w:t>
      </w:r>
      <w:r w:rsidR="008C1761">
        <w:rPr>
          <w:rFonts w:ascii="Titillium" w:hAnsi="Titillium" w:cs="Calibri"/>
          <w:sz w:val="18"/>
          <w:szCs w:val="18"/>
        </w:rPr>
        <w:t xml:space="preserve"> </w:t>
      </w:r>
      <w:r w:rsidR="008C1761" w:rsidRPr="00A066C2">
        <w:rPr>
          <w:rFonts w:ascii="Titillium" w:hAnsi="Titillium" w:cs="Calibri"/>
          <w:sz w:val="18"/>
          <w:szCs w:val="18"/>
        </w:rPr>
        <w:t>c)</w:t>
      </w:r>
      <w:r w:rsidR="008C1761">
        <w:rPr>
          <w:rFonts w:ascii="Titillium" w:hAnsi="Titillium" w:cs="Calibri"/>
          <w:sz w:val="18"/>
          <w:szCs w:val="18"/>
        </w:rPr>
        <w:t xml:space="preserve"> al</w:t>
      </w:r>
      <w:r w:rsidR="008C1761" w:rsidRPr="00A066C2">
        <w:rPr>
          <w:rFonts w:ascii="Titillium" w:hAnsi="Titillium" w:cs="Calibri"/>
          <w:sz w:val="18"/>
          <w:szCs w:val="18"/>
        </w:rPr>
        <w:t xml:space="preserve">la decisione di non aggiudicare </w:t>
      </w:r>
      <w:r w:rsidR="008C1761">
        <w:rPr>
          <w:rFonts w:ascii="Titillium" w:hAnsi="Titillium" w:cs="Calibri"/>
          <w:sz w:val="18"/>
          <w:szCs w:val="18"/>
        </w:rPr>
        <w:t>l’</w:t>
      </w:r>
      <w:r w:rsidR="008C1761" w:rsidRPr="00A066C2">
        <w:rPr>
          <w:rFonts w:ascii="Titillium" w:hAnsi="Titillium" w:cs="Calibri"/>
          <w:sz w:val="18"/>
          <w:szCs w:val="18"/>
        </w:rPr>
        <w:t>appalto;</w:t>
      </w:r>
      <w:r w:rsidR="008C1761">
        <w:rPr>
          <w:rFonts w:ascii="Titillium" w:hAnsi="Titillium" w:cs="Calibri"/>
          <w:sz w:val="18"/>
          <w:szCs w:val="18"/>
        </w:rPr>
        <w:t xml:space="preserve"> d) al</w:t>
      </w:r>
      <w:r w:rsidR="008C1761" w:rsidRPr="00A066C2">
        <w:rPr>
          <w:rFonts w:ascii="Titillium" w:hAnsi="Titillium" w:cs="Calibri"/>
          <w:sz w:val="18"/>
          <w:szCs w:val="18"/>
        </w:rPr>
        <w:t>la data di avvenuta stipulazione del contratto con l'aggiudicatario</w:t>
      </w:r>
      <w:r w:rsidR="00FF0BFA">
        <w:rPr>
          <w:rFonts w:ascii="Titillium" w:hAnsi="Titillium" w:cs="Calibri"/>
          <w:sz w:val="18"/>
          <w:szCs w:val="18"/>
        </w:rPr>
        <w:t>;</w:t>
      </w:r>
      <w:r w:rsidR="008C1761">
        <w:rPr>
          <w:rFonts w:ascii="Titillium" w:hAnsi="Titillium" w:cs="Calibri"/>
          <w:sz w:val="18"/>
          <w:szCs w:val="18"/>
        </w:rPr>
        <w:t xml:space="preserve"> </w:t>
      </w:r>
      <w:r w:rsidR="00CB3F05">
        <w:rPr>
          <w:rFonts w:ascii="Titillium" w:hAnsi="Titillium" w:cs="Calibri"/>
          <w:sz w:val="18"/>
          <w:szCs w:val="18"/>
        </w:rPr>
        <w:t xml:space="preserve">avvengono utilizzando </w:t>
      </w:r>
      <w:r w:rsidR="00EE1906" w:rsidRPr="00EE1906">
        <w:rPr>
          <w:rFonts w:ascii="Titillium" w:hAnsi="Titillium" w:cs="Calibri"/>
          <w:sz w:val="18"/>
          <w:szCs w:val="18"/>
        </w:rPr>
        <w:t>il domicilio digitale presente negli indici di cui agli articoli 6-bis e 6-ter del decreto legislativo n.82/05</w:t>
      </w:r>
      <w:r w:rsidR="008C1761">
        <w:rPr>
          <w:rFonts w:ascii="Titillium" w:hAnsi="Titillium"/>
          <w:sz w:val="18"/>
          <w:szCs w:val="18"/>
        </w:rPr>
        <w:t xml:space="preserve"> o, per gli operatori economici transfrontalieri, </w:t>
      </w:r>
      <w:r w:rsidR="00EC6709">
        <w:rPr>
          <w:rFonts w:ascii="Titillium" w:hAnsi="Titillium"/>
          <w:sz w:val="18"/>
          <w:szCs w:val="18"/>
        </w:rPr>
        <w:t xml:space="preserve">attraverso un </w:t>
      </w:r>
      <w:r w:rsidR="008C1761">
        <w:rPr>
          <w:rFonts w:ascii="Titillium" w:hAnsi="Titillium"/>
          <w:sz w:val="18"/>
          <w:szCs w:val="18"/>
        </w:rPr>
        <w:t xml:space="preserve">indirizzo di servizio elettronico di recapito certificato qualificato ai sensi del Regolamento </w:t>
      </w:r>
      <w:r w:rsidR="00EC6709">
        <w:rPr>
          <w:rFonts w:ascii="Titillium" w:hAnsi="Titillium"/>
          <w:sz w:val="18"/>
          <w:szCs w:val="18"/>
        </w:rPr>
        <w:t>eIDAS.</w:t>
      </w:r>
      <w:r w:rsidR="00EC6709" w:rsidRPr="00EC6709">
        <w:t xml:space="preserve"> </w:t>
      </w:r>
      <w:r w:rsidR="00EC6709" w:rsidRPr="00EC6709">
        <w:rPr>
          <w:rFonts w:ascii="Titillium" w:hAnsi="Titillium"/>
          <w:sz w:val="18"/>
          <w:szCs w:val="18"/>
        </w:rPr>
        <w:t>Se l’operatore economico non è presente nei predetti indici elegge domicilio digitale speciale presso la stessa Piattaforma e le comunicazioni di cui sopra sono effettuate utilizzando tale domicilio digitale</w:t>
      </w:r>
      <w:r w:rsidR="00174E7A">
        <w:rPr>
          <w:rFonts w:ascii="Titillium" w:hAnsi="Titillium"/>
          <w:sz w:val="18"/>
          <w:szCs w:val="18"/>
        </w:rPr>
        <w:t>.</w:t>
      </w:r>
      <w:r w:rsidR="00414909">
        <w:rPr>
          <w:rFonts w:ascii="Titillium" w:hAnsi="Titillium"/>
          <w:sz w:val="18"/>
          <w:szCs w:val="18"/>
        </w:rPr>
        <w:t xml:space="preserve"> </w:t>
      </w:r>
      <w:r>
        <w:rPr>
          <w:rFonts w:ascii="Titillium" w:hAnsi="Titillium"/>
          <w:sz w:val="18"/>
          <w:szCs w:val="18"/>
        </w:rPr>
        <w:t>L</w:t>
      </w:r>
      <w:r w:rsidRPr="00F2262B">
        <w:rPr>
          <w:rFonts w:ascii="Titillium" w:hAnsi="Titillium"/>
          <w:sz w:val="18"/>
          <w:szCs w:val="18"/>
        </w:rPr>
        <w:t>e comunicazioni relative all’attivazione del soccorso istruttorio</w:t>
      </w:r>
      <w:r w:rsidR="00FF0BFA">
        <w:rPr>
          <w:rFonts w:ascii="Titillium" w:hAnsi="Titillium"/>
          <w:sz w:val="18"/>
          <w:szCs w:val="18"/>
        </w:rPr>
        <w:t>;</w:t>
      </w:r>
      <w:r w:rsidRPr="00F2262B">
        <w:rPr>
          <w:rFonts w:ascii="Titillium" w:hAnsi="Titillium"/>
          <w:sz w:val="18"/>
          <w:szCs w:val="18"/>
        </w:rPr>
        <w:t xml:space="preserve"> al subprocedimento di verifica dell’anomalia dell’offerta anomala</w:t>
      </w:r>
      <w:r w:rsidR="00FF0BFA">
        <w:rPr>
          <w:rFonts w:ascii="Titillium" w:hAnsi="Titillium"/>
          <w:sz w:val="18"/>
          <w:szCs w:val="18"/>
        </w:rPr>
        <w:t>;</w:t>
      </w:r>
      <w:r w:rsidRPr="00F2262B">
        <w:rPr>
          <w:rFonts w:ascii="Titillium" w:hAnsi="Titillium"/>
          <w:sz w:val="18"/>
          <w:szCs w:val="18"/>
        </w:rPr>
        <w:t xml:space="preserve"> alla richiesta di offerta migliorativa e al sorteggio di cui all’articolo 21</w:t>
      </w:r>
      <w:r w:rsidR="00FF0BFA">
        <w:rPr>
          <w:rFonts w:ascii="Titillium" w:hAnsi="Titillium"/>
          <w:sz w:val="18"/>
          <w:szCs w:val="18"/>
        </w:rPr>
        <w:t>;</w:t>
      </w:r>
      <w:r>
        <w:rPr>
          <w:rFonts w:ascii="Titillium" w:hAnsi="Titillium"/>
          <w:sz w:val="18"/>
          <w:szCs w:val="18"/>
        </w:rPr>
        <w:t xml:space="preserve"> </w:t>
      </w:r>
      <w:r w:rsidR="00CB3F05">
        <w:rPr>
          <w:rFonts w:ascii="Titillium" w:hAnsi="Titillium"/>
          <w:sz w:val="18"/>
          <w:szCs w:val="18"/>
        </w:rPr>
        <w:t xml:space="preserve">avvengono </w:t>
      </w:r>
      <w:r w:rsidR="004E5474">
        <w:rPr>
          <w:rFonts w:ascii="Titillium" w:hAnsi="Titillium"/>
          <w:sz w:val="18"/>
          <w:szCs w:val="18"/>
        </w:rPr>
        <w:t xml:space="preserve">presso la </w:t>
      </w:r>
      <w:r w:rsidR="00CB3F05">
        <w:rPr>
          <w:rFonts w:ascii="Titillium" w:hAnsi="Titillium"/>
          <w:sz w:val="18"/>
          <w:szCs w:val="18"/>
        </w:rPr>
        <w:t>Piattaforma</w:t>
      </w:r>
      <w:r w:rsidR="004E5474">
        <w:rPr>
          <w:rFonts w:ascii="Titillium" w:hAnsi="Titillium"/>
          <w:sz w:val="18"/>
          <w:szCs w:val="18"/>
        </w:rPr>
        <w:t>.</w:t>
      </w:r>
      <w:r>
        <w:rPr>
          <w:rFonts w:ascii="Titillium" w:hAnsi="Titillium"/>
          <w:sz w:val="18"/>
          <w:szCs w:val="18"/>
        </w:rPr>
        <w:t xml:space="preserve"> </w:t>
      </w:r>
    </w:p>
    <w:p w14:paraId="045FCF03" w14:textId="77777777" w:rsidR="004C53A8" w:rsidRDefault="00870286">
      <w:pPr>
        <w:spacing w:before="60" w:after="60"/>
      </w:pPr>
      <w:r w:rsidRPr="0051151F">
        <w:rPr>
          <w:rFonts w:ascii="Titillium" w:hAnsi="Titillium" w:cs="Calibri"/>
          <w:sz w:val="18"/>
          <w:szCs w:val="18"/>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r>
        <w:rPr>
          <w:rFonts w:ascii="Titillium" w:hAnsi="Titillium" w:cs="Calibri"/>
          <w:sz w:val="18"/>
          <w:szCs w:val="18"/>
        </w:rPr>
        <w:t xml:space="preserve"> </w:t>
      </w:r>
    </w:p>
    <w:p w14:paraId="6A95464F" w14:textId="4B9DA825" w:rsidR="004C53A8" w:rsidRDefault="00870286">
      <w:pPr>
        <w:spacing w:before="60" w:after="60"/>
        <w:rPr>
          <w:rFonts w:ascii="Titillium" w:hAnsi="Titillium" w:cs="Calibri"/>
          <w:sz w:val="18"/>
          <w:szCs w:val="18"/>
        </w:rPr>
      </w:pPr>
      <w:r>
        <w:rPr>
          <w:rFonts w:ascii="Titillium" w:hAnsi="Titillium" w:cs="Calibri"/>
          <w:sz w:val="18"/>
          <w:szCs w:val="18"/>
        </w:rPr>
        <w:t>In caso di consorzi di cui all’articolo 45, comma 2, lettera b</w:t>
      </w:r>
      <w:r w:rsidR="00172A3E">
        <w:rPr>
          <w:rFonts w:ascii="Titillium" w:hAnsi="Titillium" w:cs="Calibri"/>
          <w:sz w:val="18"/>
          <w:szCs w:val="18"/>
        </w:rPr>
        <w:t>)</w:t>
      </w:r>
      <w:r>
        <w:rPr>
          <w:rFonts w:ascii="Titillium" w:hAnsi="Titillium" w:cs="Calibri"/>
          <w:sz w:val="18"/>
          <w:szCs w:val="18"/>
        </w:rPr>
        <w:t xml:space="preserve"> e c</w:t>
      </w:r>
      <w:r w:rsidR="00172A3E">
        <w:rPr>
          <w:rFonts w:ascii="Titillium" w:hAnsi="Titillium" w:cs="Calibri"/>
          <w:sz w:val="18"/>
          <w:szCs w:val="18"/>
        </w:rPr>
        <w:t>)</w:t>
      </w:r>
      <w:r>
        <w:rPr>
          <w:rFonts w:ascii="Titillium" w:hAnsi="Titillium" w:cs="Calibri"/>
          <w:sz w:val="18"/>
          <w:szCs w:val="18"/>
        </w:rPr>
        <w:t xml:space="preserve"> del Codice, la comunicazione recapitata </w:t>
      </w:r>
      <w:r w:rsidR="00172A3E" w:rsidRPr="00172A3E">
        <w:rPr>
          <w:rFonts w:ascii="Titillium" w:hAnsi="Titillium" w:cs="Calibri"/>
          <w:sz w:val="18"/>
          <w:szCs w:val="18"/>
        </w:rPr>
        <w:t xml:space="preserve">nei modi sopra indicati </w:t>
      </w:r>
      <w:r w:rsidR="00172A3E">
        <w:rPr>
          <w:rFonts w:ascii="Titillium" w:hAnsi="Titillium" w:cs="Calibri"/>
          <w:sz w:val="18"/>
          <w:szCs w:val="18"/>
        </w:rPr>
        <w:t>a</w:t>
      </w:r>
      <w:r>
        <w:rPr>
          <w:rFonts w:ascii="Titillium" w:hAnsi="Titillium" w:cs="Calibri"/>
          <w:sz w:val="18"/>
          <w:szCs w:val="18"/>
        </w:rPr>
        <w:t>l consorzio si intende validamente resa a tutte le consorziate.</w:t>
      </w:r>
    </w:p>
    <w:p w14:paraId="7BB72E14" w14:textId="6E61A72A" w:rsidR="004C53A8" w:rsidRDefault="00870286">
      <w:pPr>
        <w:tabs>
          <w:tab w:val="left" w:pos="360"/>
        </w:tabs>
        <w:spacing w:before="60" w:after="60"/>
        <w:rPr>
          <w:rFonts w:ascii="Titillium" w:hAnsi="Titillium" w:cs="Calibri"/>
          <w:sz w:val="18"/>
          <w:szCs w:val="18"/>
        </w:rPr>
      </w:pPr>
      <w:r>
        <w:rPr>
          <w:rFonts w:ascii="Titillium" w:hAnsi="Titillium" w:cs="Calibri"/>
          <w:sz w:val="18"/>
          <w:szCs w:val="18"/>
        </w:rPr>
        <w:t>In caso di avvalimento, la comunicazione recapitata all’offerente nei modi sopra indicati si intende validamente resa a tutti gli operatori economici ausiliari.</w:t>
      </w:r>
    </w:p>
    <w:p w14:paraId="0496A0F5" w14:textId="77777777" w:rsidR="0051151F" w:rsidRDefault="0051151F">
      <w:pPr>
        <w:tabs>
          <w:tab w:val="left" w:pos="360"/>
        </w:tabs>
        <w:spacing w:before="60" w:after="60"/>
        <w:rPr>
          <w:rFonts w:ascii="Titillium" w:hAnsi="Titillium" w:cs="Calibri"/>
          <w:sz w:val="18"/>
          <w:szCs w:val="18"/>
        </w:rPr>
      </w:pPr>
      <w:bookmarkStart w:id="167" w:name="_Toc416423353"/>
      <w:bookmarkStart w:id="168" w:name="_Toc406754168"/>
      <w:bookmarkStart w:id="169" w:name="_Toc406058367"/>
      <w:bookmarkStart w:id="170" w:name="_Toc403471261"/>
      <w:bookmarkStart w:id="171" w:name="_Toc397422854"/>
      <w:bookmarkStart w:id="172" w:name="_Toc397346813"/>
      <w:bookmarkStart w:id="173" w:name="_Toc393706898"/>
      <w:bookmarkStart w:id="174" w:name="_Toc393700825"/>
      <w:bookmarkStart w:id="175" w:name="_Toc393283166"/>
      <w:bookmarkStart w:id="176" w:name="_Toc393272650"/>
      <w:bookmarkStart w:id="177" w:name="_Toc393272592"/>
      <w:bookmarkStart w:id="178" w:name="_Toc393187836"/>
      <w:bookmarkStart w:id="179" w:name="_Toc393112119"/>
      <w:bookmarkStart w:id="180" w:name="_Toc393110555"/>
      <w:bookmarkStart w:id="181" w:name="_Toc392577488"/>
    </w:p>
    <w:tbl>
      <w:tblPr>
        <w:tblStyle w:val="Grigliatabella"/>
        <w:tblW w:w="9210" w:type="dxa"/>
        <w:tblLook w:val="04A0" w:firstRow="1" w:lastRow="0" w:firstColumn="1" w:lastColumn="0" w:noHBand="0" w:noVBand="1"/>
      </w:tblPr>
      <w:tblGrid>
        <w:gridCol w:w="9210"/>
      </w:tblGrid>
      <w:tr w:rsidR="004629B1" w14:paraId="7D81709B" w14:textId="77777777" w:rsidTr="004629B1">
        <w:tc>
          <w:tcPr>
            <w:tcW w:w="9210" w:type="dxa"/>
          </w:tcPr>
          <w:p w14:paraId="3EB12DAC" w14:textId="1D232E1A" w:rsidR="004629B1" w:rsidRDefault="004629B1" w:rsidP="00373F22">
            <w:pPr>
              <w:tabs>
                <w:tab w:val="left" w:pos="360"/>
              </w:tabs>
              <w:spacing w:before="60" w:after="60"/>
            </w:pPr>
            <w:r>
              <w:rPr>
                <w:rFonts w:ascii="Titillium" w:hAnsi="Titillium" w:cs="Calibri"/>
                <w:i/>
                <w:sz w:val="18"/>
                <w:szCs w:val="18"/>
              </w:rPr>
              <w:t xml:space="preserve">N.B. </w:t>
            </w:r>
            <w:r w:rsidR="00A066C2">
              <w:rPr>
                <w:rFonts w:ascii="Titillium" w:hAnsi="Titillium" w:cs="Calibri"/>
                <w:i/>
                <w:sz w:val="18"/>
                <w:szCs w:val="18"/>
              </w:rPr>
              <w:t>N</w:t>
            </w:r>
            <w:r>
              <w:rPr>
                <w:rFonts w:ascii="Titillium" w:hAnsi="Titillium" w:cs="Calibri"/>
                <w:i/>
                <w:sz w:val="18"/>
                <w:szCs w:val="18"/>
              </w:rPr>
              <w:t xml:space="preserve">el caso in cui il sistema consenta l’invio automatico di comunicazioni ad un numero indifferenziato di soggetti, si può prevedere l’invio delle comunicazioni a tutti gli operatori economici che partecipano a </w:t>
            </w:r>
            <w:r w:rsidRPr="0051151F">
              <w:rPr>
                <w:rFonts w:ascii="Titillium" w:hAnsi="Titillium" w:cs="Calibri"/>
                <w:i/>
                <w:sz w:val="18"/>
                <w:szCs w:val="18"/>
              </w:rPr>
              <w:t>raggruppamenti temporanei, GEIE, aggregazioni di rete o consorzi ordinari, anche se non ancora costituiti formalmente,</w:t>
            </w:r>
            <w:r>
              <w:rPr>
                <w:rFonts w:ascii="Titillium" w:hAnsi="Titillium" w:cs="Calibri"/>
                <w:i/>
                <w:sz w:val="18"/>
                <w:szCs w:val="18"/>
              </w:rPr>
              <w:t xml:space="preserve"> indipendentemente dalla qualifica posseduta.</w:t>
            </w:r>
          </w:p>
        </w:tc>
      </w:tr>
    </w:tbl>
    <w:p w14:paraId="5AFFF60C" w14:textId="77777777" w:rsidR="0051151F" w:rsidRDefault="0051151F">
      <w:pPr>
        <w:tabs>
          <w:tab w:val="left" w:pos="360"/>
        </w:tabs>
        <w:spacing w:before="60" w:after="60"/>
      </w:pPr>
    </w:p>
    <w:p w14:paraId="004CBD09" w14:textId="77777777" w:rsidR="004C53A8" w:rsidRDefault="00870286">
      <w:pPr>
        <w:pStyle w:val="Titolo2"/>
        <w:numPr>
          <w:ilvl w:val="0"/>
          <w:numId w:val="4"/>
        </w:numPr>
        <w:ind w:left="357" w:hanging="357"/>
      </w:pPr>
      <w:bookmarkStart w:id="182" w:name="_Ref498597801"/>
      <w:bookmarkStart w:id="183" w:name="_Toc95495881"/>
      <w:r>
        <w:rPr>
          <w:rFonts w:ascii="Titillium" w:hAnsi="Titillium"/>
          <w:caps w:val="0"/>
          <w:sz w:val="18"/>
          <w:szCs w:val="18"/>
        </w:rPr>
        <w:t>OGGETTO DELL’APPALTO</w:t>
      </w:r>
      <w:r>
        <w:rPr>
          <w:rFonts w:ascii="Titillium" w:hAnsi="Titillium"/>
          <w:caps w:val="0"/>
          <w:sz w:val="18"/>
          <w:szCs w:val="18"/>
          <w:lang w:val="it-IT"/>
        </w:rPr>
        <w:t>, IMPORTO</w:t>
      </w:r>
      <w:r>
        <w:rPr>
          <w:rFonts w:ascii="Titillium" w:hAnsi="Titillium"/>
          <w:caps w:val="0"/>
          <w:sz w:val="18"/>
          <w:szCs w:val="18"/>
        </w:rPr>
        <w:t xml:space="preserve"> E SUDDIVISIONE IN LOTTI</w:t>
      </w:r>
      <w:bookmarkEnd w:id="132"/>
      <w:bookmarkEnd w:id="133"/>
      <w:bookmarkEnd w:id="134"/>
      <w:bookmarkEnd w:id="13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AFCA231" w14:textId="77777777" w:rsidR="004C53A8" w:rsidRDefault="00870286">
      <w:pPr>
        <w:spacing w:before="60" w:after="60"/>
      </w:pPr>
      <w:r>
        <w:rPr>
          <w:rFonts w:ascii="Titillium" w:hAnsi="Titillium"/>
          <w:sz w:val="18"/>
          <w:szCs w:val="18"/>
        </w:rPr>
        <w:t xml:space="preserve">L’appalto è costituito da un unico lotto poiché …  </w:t>
      </w:r>
      <w:r>
        <w:rPr>
          <w:rFonts w:ascii="Titillium" w:hAnsi="Titillium"/>
          <w:i/>
          <w:sz w:val="18"/>
          <w:szCs w:val="18"/>
        </w:rPr>
        <w:t xml:space="preserve">[motivare la mancata suddivisione in lotti ai sensi dell’articolo 51, comma 1 del Codice]. </w:t>
      </w:r>
    </w:p>
    <w:p w14:paraId="68E6F3D0" w14:textId="77777777" w:rsidR="004C53A8" w:rsidRDefault="004C53A8">
      <w:pPr>
        <w:spacing w:before="60" w:after="60"/>
        <w:rPr>
          <w:rFonts w:ascii="Titillium" w:hAnsi="Titillium"/>
          <w:sz w:val="18"/>
          <w:szCs w:val="18"/>
        </w:rPr>
      </w:pPr>
    </w:p>
    <w:p w14:paraId="7F245BC2" w14:textId="77777777" w:rsidR="004C53A8" w:rsidRDefault="00870286">
      <w:pPr>
        <w:spacing w:before="60" w:after="60"/>
      </w:pPr>
      <w:r>
        <w:rPr>
          <w:rFonts w:ascii="Titillium" w:hAnsi="Titillium"/>
          <w:sz w:val="18"/>
          <w:szCs w:val="18"/>
        </w:rPr>
        <w:t>Tabella 1</w:t>
      </w:r>
    </w:p>
    <w:tbl>
      <w:tblPr>
        <w:tblW w:w="9067" w:type="dxa"/>
        <w:tblInd w:w="-108" w:type="dxa"/>
        <w:tblLook w:val="04A0" w:firstRow="1" w:lastRow="0" w:firstColumn="1" w:lastColumn="0" w:noHBand="0" w:noVBand="1"/>
      </w:tblPr>
      <w:tblGrid>
        <w:gridCol w:w="421"/>
        <w:gridCol w:w="4252"/>
        <w:gridCol w:w="1128"/>
        <w:gridCol w:w="1282"/>
        <w:gridCol w:w="1984"/>
      </w:tblGrid>
      <w:tr w:rsidR="004C53A8" w14:paraId="11F1F700" w14:textId="77777777">
        <w:tc>
          <w:tcPr>
            <w:tcW w:w="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E12294" w14:textId="77777777" w:rsidR="004C53A8" w:rsidRDefault="00870286">
            <w:pPr>
              <w:spacing w:before="60" w:after="60"/>
              <w:jc w:val="center"/>
              <w:rPr>
                <w:rFonts w:ascii="Titillium" w:hAnsi="Titillium"/>
                <w:sz w:val="18"/>
                <w:szCs w:val="18"/>
              </w:rPr>
            </w:pPr>
            <w:r>
              <w:rPr>
                <w:rFonts w:ascii="Titillium" w:hAnsi="Titillium"/>
                <w:sz w:val="18"/>
                <w:szCs w:val="18"/>
              </w:rPr>
              <w:t>n.</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86068" w14:textId="77777777" w:rsidR="004C53A8" w:rsidRDefault="00870286">
            <w:pPr>
              <w:spacing w:before="60" w:after="60"/>
              <w:jc w:val="center"/>
              <w:rPr>
                <w:rFonts w:ascii="Titillium" w:hAnsi="Titillium"/>
                <w:sz w:val="18"/>
                <w:szCs w:val="18"/>
              </w:rPr>
            </w:pPr>
            <w:r>
              <w:rPr>
                <w:rFonts w:ascii="Titillium" w:hAnsi="Titillium"/>
                <w:sz w:val="18"/>
                <w:szCs w:val="18"/>
              </w:rPr>
              <w:t>Descrizione servizi/beni</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974B0D" w14:textId="77777777" w:rsidR="004C53A8" w:rsidRDefault="00870286">
            <w:pPr>
              <w:spacing w:before="60" w:after="60"/>
              <w:jc w:val="center"/>
              <w:rPr>
                <w:rFonts w:ascii="Titillium" w:hAnsi="Titillium"/>
                <w:sz w:val="18"/>
                <w:szCs w:val="18"/>
              </w:rPr>
            </w:pPr>
            <w:r>
              <w:rPr>
                <w:rFonts w:ascii="Titillium" w:hAnsi="Titillium"/>
                <w:sz w:val="18"/>
                <w:szCs w:val="18"/>
              </w:rPr>
              <w:t>CPV</w:t>
            </w:r>
          </w:p>
        </w:tc>
        <w:tc>
          <w:tcPr>
            <w:tcW w:w="12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70053" w14:textId="77777777" w:rsidR="004C53A8" w:rsidRDefault="00870286">
            <w:pPr>
              <w:spacing w:before="60" w:after="60"/>
              <w:jc w:val="center"/>
              <w:rPr>
                <w:rFonts w:ascii="Titillium" w:hAnsi="Titillium"/>
                <w:sz w:val="18"/>
                <w:szCs w:val="18"/>
              </w:rPr>
            </w:pPr>
            <w:r>
              <w:rPr>
                <w:rFonts w:ascii="Titillium" w:hAnsi="Titillium"/>
                <w:sz w:val="18"/>
                <w:szCs w:val="18"/>
              </w:rPr>
              <w:t>P (principale)</w:t>
            </w:r>
          </w:p>
          <w:p w14:paraId="4C443862" w14:textId="77777777" w:rsidR="004C53A8" w:rsidRDefault="00870286">
            <w:pPr>
              <w:spacing w:before="60" w:after="60"/>
              <w:jc w:val="center"/>
              <w:rPr>
                <w:rFonts w:ascii="Titillium" w:hAnsi="Titillium"/>
                <w:sz w:val="18"/>
                <w:szCs w:val="18"/>
              </w:rPr>
            </w:pPr>
            <w:r>
              <w:rPr>
                <w:rFonts w:ascii="Titillium" w:hAnsi="Titillium"/>
                <w:sz w:val="18"/>
                <w:szCs w:val="18"/>
              </w:rPr>
              <w:t>S (secondaria)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3E556" w14:textId="77777777" w:rsidR="004C53A8" w:rsidRDefault="00870286">
            <w:pPr>
              <w:spacing w:before="60" w:after="60"/>
              <w:jc w:val="center"/>
              <w:rPr>
                <w:rFonts w:ascii="Titillium" w:hAnsi="Titillium"/>
                <w:sz w:val="18"/>
                <w:szCs w:val="18"/>
              </w:rPr>
            </w:pPr>
            <w:r>
              <w:rPr>
                <w:rFonts w:ascii="Titillium" w:hAnsi="Titillium"/>
                <w:sz w:val="18"/>
                <w:szCs w:val="18"/>
              </w:rPr>
              <w:t>Importo</w:t>
            </w:r>
          </w:p>
        </w:tc>
      </w:tr>
      <w:tr w:rsidR="004C53A8" w14:paraId="323F3091"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0A9D7E10" w14:textId="77777777" w:rsidR="004C53A8" w:rsidRDefault="00870286">
            <w:pPr>
              <w:spacing w:before="60" w:after="60"/>
              <w:jc w:val="center"/>
              <w:rPr>
                <w:rFonts w:ascii="Titillium" w:hAnsi="Titillium"/>
                <w:sz w:val="18"/>
                <w:szCs w:val="18"/>
              </w:rPr>
            </w:pPr>
            <w:r>
              <w:rPr>
                <w:rFonts w:ascii="Titillium" w:hAnsi="Titillium"/>
                <w:sz w:val="18"/>
                <w:szCs w:val="18"/>
              </w:rPr>
              <w:lastRenderedPageBreak/>
              <w:t>1</w:t>
            </w:r>
          </w:p>
        </w:tc>
        <w:tc>
          <w:tcPr>
            <w:tcW w:w="4252" w:type="dxa"/>
            <w:tcBorders>
              <w:top w:val="single" w:sz="4" w:space="0" w:color="000000"/>
              <w:left w:val="single" w:sz="4" w:space="0" w:color="000000"/>
              <w:bottom w:val="single" w:sz="4" w:space="0" w:color="000000"/>
              <w:right w:val="single" w:sz="4" w:space="0" w:color="000000"/>
            </w:tcBorders>
            <w:vAlign w:val="center"/>
          </w:tcPr>
          <w:p w14:paraId="56F9F517"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E3C65EC"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7E1EDE28"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3D930E" w14:textId="77777777" w:rsidR="004C53A8" w:rsidRDefault="004C53A8">
            <w:pPr>
              <w:spacing w:before="60" w:after="60"/>
              <w:jc w:val="center"/>
              <w:rPr>
                <w:rFonts w:ascii="Titillium" w:hAnsi="Titillium"/>
                <w:sz w:val="18"/>
                <w:szCs w:val="18"/>
              </w:rPr>
            </w:pPr>
          </w:p>
        </w:tc>
      </w:tr>
      <w:tr w:rsidR="004C53A8" w14:paraId="7790363D"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3D36F229" w14:textId="77777777" w:rsidR="004C53A8" w:rsidRDefault="00870286">
            <w:pPr>
              <w:spacing w:before="60" w:after="60"/>
              <w:jc w:val="center"/>
              <w:rPr>
                <w:rFonts w:ascii="Titillium" w:hAnsi="Titillium"/>
                <w:sz w:val="18"/>
                <w:szCs w:val="18"/>
              </w:rPr>
            </w:pPr>
            <w:r>
              <w:rPr>
                <w:rFonts w:ascii="Titillium" w:hAnsi="Titillium"/>
                <w:sz w:val="18"/>
                <w:szCs w:val="18"/>
              </w:rPr>
              <w:t>2</w:t>
            </w:r>
          </w:p>
        </w:tc>
        <w:tc>
          <w:tcPr>
            <w:tcW w:w="4252" w:type="dxa"/>
            <w:tcBorders>
              <w:top w:val="single" w:sz="4" w:space="0" w:color="000000"/>
              <w:left w:val="single" w:sz="4" w:space="0" w:color="000000"/>
              <w:bottom w:val="single" w:sz="4" w:space="0" w:color="000000"/>
              <w:right w:val="single" w:sz="4" w:space="0" w:color="000000"/>
            </w:tcBorders>
            <w:vAlign w:val="center"/>
          </w:tcPr>
          <w:p w14:paraId="7FF4D8CF"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F2E717C"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63C49EA7"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074935" w14:textId="77777777" w:rsidR="004C53A8" w:rsidRDefault="004C53A8">
            <w:pPr>
              <w:spacing w:before="60" w:after="60"/>
              <w:jc w:val="center"/>
              <w:rPr>
                <w:rFonts w:ascii="Titillium" w:hAnsi="Titillium"/>
                <w:sz w:val="18"/>
                <w:szCs w:val="18"/>
              </w:rPr>
            </w:pPr>
          </w:p>
        </w:tc>
      </w:tr>
      <w:tr w:rsidR="004C53A8" w14:paraId="016C8CE1"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727DC701" w14:textId="77777777" w:rsidR="004C53A8" w:rsidRDefault="00870286">
            <w:pPr>
              <w:spacing w:before="60" w:after="60"/>
              <w:jc w:val="center"/>
              <w:rPr>
                <w:rFonts w:ascii="Titillium" w:hAnsi="Titillium"/>
                <w:sz w:val="18"/>
                <w:szCs w:val="18"/>
              </w:rPr>
            </w:pPr>
            <w:r>
              <w:rPr>
                <w:rFonts w:ascii="Titillium" w:hAnsi="Titillium"/>
                <w:sz w:val="18"/>
                <w:szCs w:val="18"/>
              </w:rPr>
              <w:t>3</w:t>
            </w:r>
          </w:p>
        </w:tc>
        <w:tc>
          <w:tcPr>
            <w:tcW w:w="4252" w:type="dxa"/>
            <w:tcBorders>
              <w:top w:val="single" w:sz="4" w:space="0" w:color="000000"/>
              <w:left w:val="single" w:sz="4" w:space="0" w:color="000000"/>
              <w:bottom w:val="single" w:sz="4" w:space="0" w:color="000000"/>
              <w:right w:val="single" w:sz="4" w:space="0" w:color="000000"/>
            </w:tcBorders>
            <w:vAlign w:val="center"/>
          </w:tcPr>
          <w:p w14:paraId="5E487383"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1C845610"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BE665C0"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DA4A98" w14:textId="77777777" w:rsidR="004C53A8" w:rsidRDefault="004C53A8">
            <w:pPr>
              <w:spacing w:before="60" w:after="60"/>
              <w:jc w:val="center"/>
              <w:rPr>
                <w:rFonts w:ascii="Titillium" w:hAnsi="Titillium"/>
                <w:sz w:val="18"/>
                <w:szCs w:val="18"/>
              </w:rPr>
            </w:pPr>
          </w:p>
        </w:tc>
      </w:tr>
      <w:tr w:rsidR="004C53A8" w14:paraId="69A66CB3"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C653754" w14:textId="77777777" w:rsidR="004C53A8" w:rsidRDefault="00870286" w:rsidP="00601972">
            <w:pPr>
              <w:pStyle w:val="Paragrafoelenco"/>
              <w:numPr>
                <w:ilvl w:val="0"/>
                <w:numId w:val="29"/>
              </w:numPr>
              <w:spacing w:before="60" w:after="60"/>
              <w:ind w:left="3392" w:hanging="284"/>
              <w:jc w:val="left"/>
            </w:pPr>
            <w:r>
              <w:rPr>
                <w:rFonts w:ascii="Titillium" w:hAnsi="Titillium"/>
                <w:b/>
                <w:sz w:val="18"/>
                <w:szCs w:val="18"/>
              </w:rPr>
              <w:t>Importo totale soggetto a ribasso</w:t>
            </w:r>
          </w:p>
        </w:tc>
        <w:tc>
          <w:tcPr>
            <w:tcW w:w="1984" w:type="dxa"/>
            <w:tcBorders>
              <w:top w:val="single" w:sz="4" w:space="0" w:color="000000"/>
              <w:left w:val="single" w:sz="4" w:space="0" w:color="000000"/>
              <w:bottom w:val="single" w:sz="4" w:space="0" w:color="000000"/>
              <w:right w:val="single" w:sz="4" w:space="0" w:color="000000"/>
            </w:tcBorders>
            <w:vAlign w:val="center"/>
          </w:tcPr>
          <w:p w14:paraId="12087613" w14:textId="77777777" w:rsidR="004C53A8" w:rsidRDefault="004C53A8">
            <w:pPr>
              <w:spacing w:before="60" w:after="60"/>
              <w:jc w:val="center"/>
              <w:rPr>
                <w:rFonts w:ascii="Titillium" w:hAnsi="Titillium"/>
                <w:sz w:val="18"/>
                <w:szCs w:val="18"/>
              </w:rPr>
            </w:pPr>
          </w:p>
        </w:tc>
      </w:tr>
      <w:tr w:rsidR="004C53A8" w14:paraId="09B9CDC9"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0A4F8E7" w14:textId="55238A60" w:rsidR="004C53A8" w:rsidRDefault="00870286" w:rsidP="00601972">
            <w:pPr>
              <w:pStyle w:val="Paragrafoelenco"/>
              <w:numPr>
                <w:ilvl w:val="0"/>
                <w:numId w:val="29"/>
              </w:numPr>
              <w:spacing w:before="60" w:after="60"/>
              <w:ind w:left="3392" w:hanging="284"/>
              <w:jc w:val="left"/>
            </w:pPr>
            <w:r>
              <w:rPr>
                <w:rFonts w:ascii="Titillium" w:hAnsi="Titillium"/>
                <w:b/>
                <w:sz w:val="18"/>
                <w:szCs w:val="18"/>
              </w:rPr>
              <w:t xml:space="preserve">Oneri per la sicurezza da interferenze non soggetti a ribasso </w:t>
            </w:r>
            <w:r>
              <w:rPr>
                <w:rFonts w:ascii="Titillium" w:hAnsi="Titillium"/>
                <w:i/>
                <w:sz w:val="18"/>
                <w:szCs w:val="18"/>
              </w:rPr>
              <w:t>[indicare € 0,00 in caso di assenza di rischi]</w:t>
            </w:r>
          </w:p>
        </w:tc>
        <w:tc>
          <w:tcPr>
            <w:tcW w:w="1984" w:type="dxa"/>
            <w:tcBorders>
              <w:top w:val="single" w:sz="4" w:space="0" w:color="000000"/>
              <w:left w:val="single" w:sz="4" w:space="0" w:color="000000"/>
              <w:bottom w:val="single" w:sz="4" w:space="0" w:color="000000"/>
              <w:right w:val="single" w:sz="4" w:space="0" w:color="000000"/>
            </w:tcBorders>
            <w:vAlign w:val="center"/>
          </w:tcPr>
          <w:p w14:paraId="43ED82A5" w14:textId="77777777" w:rsidR="004C53A8" w:rsidRDefault="004C53A8">
            <w:pPr>
              <w:spacing w:before="60" w:after="60"/>
              <w:jc w:val="center"/>
              <w:rPr>
                <w:rFonts w:ascii="Titillium" w:hAnsi="Titillium"/>
                <w:sz w:val="18"/>
                <w:szCs w:val="18"/>
              </w:rPr>
            </w:pPr>
          </w:p>
        </w:tc>
      </w:tr>
      <w:tr w:rsidR="004C53A8" w14:paraId="2B6A8082"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8184354" w14:textId="6DF5CC40" w:rsidR="004C53A8" w:rsidRDefault="00870286" w:rsidP="004629B1">
            <w:pPr>
              <w:spacing w:before="60" w:after="60"/>
              <w:ind w:left="3534" w:hanging="850"/>
              <w:jc w:val="left"/>
              <w:rPr>
                <w:rFonts w:ascii="Titillium" w:hAnsi="Titillium"/>
                <w:b/>
                <w:sz w:val="18"/>
                <w:szCs w:val="18"/>
              </w:rPr>
            </w:pPr>
            <w:r>
              <w:rPr>
                <w:rFonts w:ascii="Titillium" w:hAnsi="Titillium"/>
                <w:b/>
                <w:sz w:val="18"/>
                <w:szCs w:val="18"/>
              </w:rPr>
              <w:t xml:space="preserve">   A) + B)  Importo complessivo a base di gara</w:t>
            </w:r>
          </w:p>
        </w:tc>
        <w:tc>
          <w:tcPr>
            <w:tcW w:w="1984" w:type="dxa"/>
            <w:tcBorders>
              <w:top w:val="single" w:sz="4" w:space="0" w:color="000000"/>
              <w:left w:val="single" w:sz="4" w:space="0" w:color="000000"/>
              <w:bottom w:val="single" w:sz="4" w:space="0" w:color="000000"/>
              <w:right w:val="single" w:sz="4" w:space="0" w:color="000000"/>
            </w:tcBorders>
            <w:vAlign w:val="center"/>
          </w:tcPr>
          <w:p w14:paraId="15DBC6E8" w14:textId="77777777" w:rsidR="004C53A8" w:rsidRDefault="004C53A8">
            <w:pPr>
              <w:spacing w:before="60" w:after="60"/>
              <w:jc w:val="center"/>
              <w:rPr>
                <w:rFonts w:ascii="Titillium" w:hAnsi="Titillium"/>
                <w:sz w:val="18"/>
                <w:szCs w:val="18"/>
              </w:rPr>
            </w:pPr>
          </w:p>
        </w:tc>
      </w:tr>
    </w:tbl>
    <w:p w14:paraId="2FD0C6FB" w14:textId="77777777" w:rsidR="004C53A8" w:rsidRDefault="004C53A8">
      <w:pPr>
        <w:spacing w:before="60" w:after="60"/>
        <w:rPr>
          <w:rFonts w:ascii="Titillium" w:hAnsi="Titillium"/>
          <w:szCs w:val="24"/>
        </w:rPr>
      </w:pPr>
    </w:p>
    <w:p w14:paraId="776E5728" w14:textId="4B97EAB5" w:rsidR="004C53A8" w:rsidRDefault="00870286" w:rsidP="00C32E81">
      <w:pPr>
        <w:spacing w:before="60" w:after="60"/>
        <w:rPr>
          <w:rFonts w:ascii="Titillium" w:hAnsi="Titillium" w:cs="Calibri"/>
          <w:sz w:val="18"/>
          <w:szCs w:val="18"/>
        </w:rPr>
      </w:pPr>
      <w:r>
        <w:rPr>
          <w:rFonts w:ascii="Titillium" w:hAnsi="Titillium"/>
          <w:sz w:val="18"/>
          <w:szCs w:val="18"/>
        </w:rPr>
        <w:t xml:space="preserve">L’importo complessivo a base di gara è al </w:t>
      </w:r>
      <w:r>
        <w:rPr>
          <w:rFonts w:ascii="Titillium" w:hAnsi="Titillium" w:cs="Calibri"/>
          <w:sz w:val="18"/>
          <w:szCs w:val="18"/>
        </w:rPr>
        <w:t>netto di</w:t>
      </w:r>
      <w:r>
        <w:rPr>
          <w:rFonts w:ascii="Titillium" w:hAnsi="Titillium" w:cs="Calibri"/>
          <w:i/>
          <w:sz w:val="18"/>
          <w:szCs w:val="18"/>
        </w:rPr>
        <w:t xml:space="preserve"> </w:t>
      </w:r>
      <w:r>
        <w:rPr>
          <w:rFonts w:ascii="Titillium" w:hAnsi="Titillium" w:cs="Calibri"/>
          <w:sz w:val="18"/>
          <w:szCs w:val="18"/>
        </w:rPr>
        <w:t>Iva e/o di altre imposte e contributi di legge</w:t>
      </w:r>
      <w:r w:rsidR="00C32E81">
        <w:rPr>
          <w:rFonts w:ascii="Titillium" w:hAnsi="Titillium" w:cs="Calibri"/>
          <w:sz w:val="18"/>
          <w:szCs w:val="18"/>
        </w:rPr>
        <w:t xml:space="preserve">, nonché degli oneri </w:t>
      </w:r>
      <w:r w:rsidR="00C32E81" w:rsidRPr="00C32E81">
        <w:rPr>
          <w:rFonts w:ascii="Titillium" w:hAnsi="Titillium" w:cs="Calibri"/>
          <w:sz w:val="18"/>
          <w:szCs w:val="18"/>
        </w:rPr>
        <w:t>per la sicurezza dovuti a rischi da interferenze.</w:t>
      </w:r>
    </w:p>
    <w:p w14:paraId="1E141226" w14:textId="6F719288" w:rsidR="00C32E81" w:rsidRPr="00C32E81" w:rsidRDefault="00C32E81" w:rsidP="00C32E81">
      <w:pPr>
        <w:spacing w:before="60" w:after="60"/>
        <w:rPr>
          <w:rFonts w:ascii="Titillium" w:hAnsi="Titillium" w:cs="Calibri"/>
          <w:sz w:val="18"/>
          <w:szCs w:val="18"/>
        </w:rPr>
      </w:pPr>
      <w:r w:rsidRPr="00C32E81">
        <w:rPr>
          <w:rFonts w:ascii="Titillium" w:hAnsi="Titillium" w:cs="Calibri"/>
          <w:sz w:val="18"/>
          <w:szCs w:val="18"/>
        </w:rPr>
        <w:t>L’importo degli oneri per la sicurezza d</w:t>
      </w:r>
      <w:r>
        <w:rPr>
          <w:rFonts w:ascii="Titillium" w:hAnsi="Titillium" w:cs="Calibri"/>
          <w:sz w:val="18"/>
          <w:szCs w:val="18"/>
        </w:rPr>
        <w:t xml:space="preserve">a interferenze è pari a € ... Iva e/o altre imposte e </w:t>
      </w:r>
      <w:r w:rsidRPr="00C32E81">
        <w:rPr>
          <w:rFonts w:ascii="Titillium" w:hAnsi="Titillium" w:cs="Calibri"/>
          <w:sz w:val="18"/>
          <w:szCs w:val="18"/>
        </w:rPr>
        <w:t xml:space="preserve">contributi di legge esclusi </w:t>
      </w:r>
      <w:r w:rsidRPr="00C32E81">
        <w:rPr>
          <w:rFonts w:ascii="Titillium" w:hAnsi="Titillium" w:cs="Calibri"/>
          <w:i/>
          <w:sz w:val="18"/>
          <w:szCs w:val="18"/>
        </w:rPr>
        <w:t>[indicare valore pari a € 0,00 in caso di assenza di rischi]</w:t>
      </w:r>
      <w:r>
        <w:rPr>
          <w:rFonts w:ascii="Titillium" w:hAnsi="Titillium" w:cs="Calibri"/>
          <w:sz w:val="18"/>
          <w:szCs w:val="18"/>
        </w:rPr>
        <w:t xml:space="preserve"> e non è soggetto a </w:t>
      </w:r>
      <w:r w:rsidRPr="00C32E81">
        <w:rPr>
          <w:rFonts w:ascii="Titillium" w:hAnsi="Titillium" w:cs="Calibri"/>
          <w:sz w:val="18"/>
          <w:szCs w:val="18"/>
        </w:rPr>
        <w:t>ribasso.</w:t>
      </w:r>
    </w:p>
    <w:p w14:paraId="68AEC6E3" w14:textId="77777777" w:rsidR="004C53A8" w:rsidRDefault="00870286">
      <w:pPr>
        <w:spacing w:before="60" w:after="60"/>
      </w:pPr>
      <w:r>
        <w:rPr>
          <w:rFonts w:ascii="Titillium" w:hAnsi="Titillium"/>
          <w:sz w:val="18"/>
          <w:szCs w:val="18"/>
        </w:rPr>
        <w:t xml:space="preserve">L’appalto è finanziato con </w:t>
      </w:r>
      <w:r>
        <w:rPr>
          <w:rFonts w:ascii="Titillium" w:hAnsi="Titillium"/>
          <w:i/>
          <w:sz w:val="18"/>
          <w:szCs w:val="18"/>
        </w:rPr>
        <w:t>… [descrivere le fonti di finanziamento]</w:t>
      </w:r>
      <w:r>
        <w:rPr>
          <w:rFonts w:ascii="Titillium" w:hAnsi="Titillium"/>
          <w:sz w:val="18"/>
          <w:szCs w:val="18"/>
        </w:rPr>
        <w:t>.</w:t>
      </w:r>
    </w:p>
    <w:p w14:paraId="1410CF14" w14:textId="1CA830BA" w:rsidR="004C53A8" w:rsidRDefault="00C32E81">
      <w:pPr>
        <w:spacing w:before="60" w:after="60"/>
      </w:pPr>
      <w:r w:rsidRPr="00C32E81">
        <w:rPr>
          <w:rFonts w:ascii="Titillium" w:hAnsi="Titillium"/>
          <w:b/>
          <w:i/>
          <w:sz w:val="18"/>
          <w:szCs w:val="18"/>
        </w:rPr>
        <w:t>[In caso di appalto di servizi o appalto misto di servizi e forniture]</w:t>
      </w:r>
      <w:r>
        <w:rPr>
          <w:rFonts w:ascii="Titillium" w:hAnsi="Titillium"/>
          <w:sz w:val="18"/>
          <w:szCs w:val="18"/>
        </w:rPr>
        <w:t xml:space="preserve"> L</w:t>
      </w:r>
      <w:r w:rsidR="00870286">
        <w:rPr>
          <w:rFonts w:ascii="Titillium" w:hAnsi="Titillium"/>
          <w:sz w:val="18"/>
          <w:szCs w:val="18"/>
        </w:rPr>
        <w:t xml:space="preserve">’importo posto a base di gara comprende i costi della manodopera che la stazione appaltante ha stimato pari ad € </w:t>
      </w:r>
      <w:r w:rsidR="00870286">
        <w:rPr>
          <w:rFonts w:ascii="Titillium" w:hAnsi="Titillium"/>
          <w:i/>
          <w:sz w:val="18"/>
          <w:szCs w:val="18"/>
        </w:rPr>
        <w:t xml:space="preserve">… </w:t>
      </w:r>
      <w:r w:rsidR="00870286">
        <w:rPr>
          <w:rFonts w:ascii="Titillium" w:hAnsi="Titillium"/>
          <w:sz w:val="18"/>
          <w:szCs w:val="18"/>
        </w:rPr>
        <w:t xml:space="preserve">calcolati sulla base dei seguenti elementi … </w:t>
      </w:r>
      <w:r w:rsidR="00870286">
        <w:rPr>
          <w:rFonts w:ascii="Titillium" w:hAnsi="Titillium"/>
          <w:i/>
          <w:sz w:val="18"/>
          <w:szCs w:val="18"/>
        </w:rPr>
        <w:t>[precisare gli elementi attraverso i quali si è pervenuti alla determinazione del costo stimato] e riferiti a [specificare a quali servizi o forniture si riferiscono i costi della manodopera]</w:t>
      </w:r>
      <w:r w:rsidR="00870286">
        <w:rPr>
          <w:rFonts w:ascii="Titillium" w:hAnsi="Titillium"/>
          <w:sz w:val="18"/>
          <w:szCs w:val="18"/>
        </w:rPr>
        <w:t>.</w:t>
      </w:r>
    </w:p>
    <w:p w14:paraId="63E4F939" w14:textId="77777777" w:rsidR="004C53A8" w:rsidRDefault="004C53A8">
      <w:pPr>
        <w:spacing w:before="60" w:after="60"/>
        <w:rPr>
          <w:rFonts w:ascii="Titillium" w:hAnsi="Titillium"/>
          <w:sz w:val="18"/>
          <w:szCs w:val="18"/>
        </w:rPr>
      </w:pPr>
    </w:p>
    <w:tbl>
      <w:tblPr>
        <w:tblW w:w="9210" w:type="dxa"/>
        <w:tblInd w:w="-108" w:type="dxa"/>
        <w:tblLook w:val="04A0" w:firstRow="1" w:lastRow="0" w:firstColumn="1" w:lastColumn="0" w:noHBand="0" w:noVBand="1"/>
      </w:tblPr>
      <w:tblGrid>
        <w:gridCol w:w="9210"/>
      </w:tblGrid>
      <w:tr w:rsidR="004C53A8" w14:paraId="606FC0A0" w14:textId="77777777">
        <w:tc>
          <w:tcPr>
            <w:tcW w:w="9210" w:type="dxa"/>
            <w:tcBorders>
              <w:top w:val="single" w:sz="4" w:space="0" w:color="000000"/>
              <w:left w:val="single" w:sz="4" w:space="0" w:color="000000"/>
              <w:bottom w:val="single" w:sz="4" w:space="0" w:color="000000"/>
              <w:right w:val="single" w:sz="4" w:space="0" w:color="000000"/>
            </w:tcBorders>
          </w:tcPr>
          <w:p w14:paraId="6239DA12" w14:textId="2710DC87" w:rsidR="004C53A8" w:rsidRDefault="00870286" w:rsidP="00F36360">
            <w:pPr>
              <w:spacing w:before="60" w:after="60"/>
            </w:pPr>
            <w:r>
              <w:rPr>
                <w:rFonts w:ascii="Titillium" w:hAnsi="Titillium"/>
                <w:i/>
                <w:sz w:val="18"/>
                <w:szCs w:val="18"/>
              </w:rPr>
              <w:t>N.B.</w:t>
            </w:r>
            <w:r w:rsidR="00F36360">
              <w:rPr>
                <w:rFonts w:ascii="Titillium" w:hAnsi="Titillium"/>
                <w:i/>
                <w:sz w:val="18"/>
                <w:szCs w:val="18"/>
              </w:rPr>
              <w:t xml:space="preserve"> </w:t>
            </w:r>
            <w:r>
              <w:rPr>
                <w:rFonts w:ascii="Titillium" w:hAnsi="Titillium"/>
                <w:i/>
                <w:sz w:val="18"/>
                <w:szCs w:val="18"/>
              </w:rPr>
              <w:t xml:space="preserve"> </w:t>
            </w:r>
            <w:r w:rsidR="00F36360">
              <w:rPr>
                <w:rFonts w:ascii="Titillium" w:hAnsi="Titillium"/>
                <w:i/>
                <w:sz w:val="18"/>
                <w:szCs w:val="18"/>
              </w:rPr>
              <w:t>I</w:t>
            </w:r>
            <w:r>
              <w:rPr>
                <w:rFonts w:ascii="Titillium" w:hAnsi="Titillium"/>
                <w:i/>
                <w:sz w:val="18"/>
                <w:szCs w:val="18"/>
              </w:rPr>
              <w:t>n consider</w:t>
            </w:r>
            <w:r w:rsidR="00347BFB">
              <w:rPr>
                <w:rFonts w:ascii="Titillium" w:hAnsi="Titillium"/>
                <w:i/>
                <w:sz w:val="18"/>
                <w:szCs w:val="18"/>
              </w:rPr>
              <w:t>a</w:t>
            </w:r>
            <w:r>
              <w:rPr>
                <w:rFonts w:ascii="Titillium" w:hAnsi="Titillium"/>
                <w:i/>
                <w:sz w:val="18"/>
                <w:szCs w:val="18"/>
              </w:rPr>
              <w:t>zione di quanto disposto all’articolo 95, comma 10 del Codice, non deve essere indicata la stima dei costi della manodopera nel caso di servizi di natura intellettuale e di fornitura senza posa in opera.</w:t>
            </w:r>
          </w:p>
        </w:tc>
      </w:tr>
    </w:tbl>
    <w:p w14:paraId="3A3D9D08" w14:textId="77777777" w:rsidR="004C53A8" w:rsidRDefault="004C53A8">
      <w:pPr>
        <w:spacing w:before="60" w:after="60"/>
        <w:ind w:left="360"/>
        <w:rPr>
          <w:rFonts w:ascii="Titillium" w:hAnsi="Titillium"/>
          <w:sz w:val="18"/>
          <w:szCs w:val="18"/>
        </w:rPr>
      </w:pPr>
    </w:p>
    <w:p w14:paraId="68BE0CC0" w14:textId="1D031AC9" w:rsidR="004C53A8" w:rsidRDefault="00870286">
      <w:pPr>
        <w:spacing w:before="60" w:after="60"/>
      </w:pPr>
      <w:r>
        <w:rPr>
          <w:rFonts w:ascii="Titillium" w:hAnsi="Titillium" w:cs="Calibri"/>
          <w:b/>
          <w:i/>
          <w:sz w:val="18"/>
          <w:szCs w:val="18"/>
        </w:rPr>
        <w:t xml:space="preserve">[Eventuale in caso di pubblicazione dei prezzi di riferimento dei beni o servizi oggetto di affidamento] </w:t>
      </w:r>
      <w:r>
        <w:rPr>
          <w:rFonts w:ascii="Titillium" w:hAnsi="Titillium"/>
          <w:sz w:val="18"/>
          <w:szCs w:val="18"/>
        </w:rPr>
        <w:t xml:space="preserve">L’importo a base di gara è stato calcolato considerando i prezzi di riferimento per … </w:t>
      </w:r>
      <w:r>
        <w:rPr>
          <w:rFonts w:ascii="Titillium" w:hAnsi="Titillium"/>
          <w:i/>
          <w:sz w:val="18"/>
          <w:szCs w:val="18"/>
        </w:rPr>
        <w:t>[inserire i beni o servizi]</w:t>
      </w:r>
      <w:r>
        <w:rPr>
          <w:rFonts w:ascii="Titillium" w:hAnsi="Titillium"/>
          <w:sz w:val="18"/>
          <w:szCs w:val="18"/>
        </w:rPr>
        <w:t xml:space="preserve">, di cui alla delibera dell’ANAC n. … del … </w:t>
      </w:r>
      <w:r>
        <w:rPr>
          <w:rFonts w:ascii="Titillium" w:hAnsi="Titillium"/>
          <w:i/>
          <w:sz w:val="18"/>
          <w:szCs w:val="18"/>
        </w:rPr>
        <w:t>[la stazione appaltante indica la delibera di riferimento vigente alla data di pubblicazione del bando]</w:t>
      </w:r>
      <w:r>
        <w:rPr>
          <w:rFonts w:ascii="Titillium" w:hAnsi="Titillium"/>
          <w:sz w:val="18"/>
          <w:szCs w:val="18"/>
        </w:rPr>
        <w:t xml:space="preserve"> in relazione alla stima dei fabbisogni dettagliati nel progetto allegato al presente disciplinare.</w:t>
      </w:r>
    </w:p>
    <w:p w14:paraId="5DFC2193" w14:textId="77777777" w:rsidR="004C53A8" w:rsidRDefault="004C53A8">
      <w:pPr>
        <w:spacing w:before="60" w:after="60"/>
        <w:rPr>
          <w:rFonts w:ascii="Titillium" w:hAnsi="Titillium"/>
          <w:szCs w:val="24"/>
        </w:rPr>
      </w:pPr>
    </w:p>
    <w:tbl>
      <w:tblPr>
        <w:tblW w:w="9210" w:type="dxa"/>
        <w:tblInd w:w="-108" w:type="dxa"/>
        <w:tblLook w:val="04A0" w:firstRow="1" w:lastRow="0" w:firstColumn="1" w:lastColumn="0" w:noHBand="0" w:noVBand="1"/>
      </w:tblPr>
      <w:tblGrid>
        <w:gridCol w:w="9210"/>
      </w:tblGrid>
      <w:tr w:rsidR="004C53A8" w14:paraId="37884800" w14:textId="77777777">
        <w:tc>
          <w:tcPr>
            <w:tcW w:w="9210" w:type="dxa"/>
            <w:tcBorders>
              <w:top w:val="single" w:sz="4" w:space="0" w:color="000000"/>
              <w:left w:val="single" w:sz="4" w:space="0" w:color="000000"/>
              <w:bottom w:val="single" w:sz="4" w:space="0" w:color="000000"/>
              <w:right w:val="single" w:sz="4" w:space="0" w:color="000000"/>
            </w:tcBorders>
          </w:tcPr>
          <w:p w14:paraId="2CA0FFF6" w14:textId="6B20DE2B" w:rsidR="004C53A8" w:rsidRDefault="00870286" w:rsidP="00F36360">
            <w:pPr>
              <w:spacing w:before="60" w:after="60"/>
              <w:rPr>
                <w:rFonts w:ascii="Titillium" w:hAnsi="Titillium"/>
                <w:i/>
                <w:sz w:val="18"/>
                <w:szCs w:val="18"/>
              </w:rPr>
            </w:pPr>
            <w:r>
              <w:rPr>
                <w:rFonts w:ascii="Titillium" w:hAnsi="Titillium"/>
                <w:i/>
                <w:sz w:val="18"/>
                <w:szCs w:val="18"/>
              </w:rPr>
              <w:t xml:space="preserve">N.B. </w:t>
            </w:r>
            <w:r w:rsidR="00F36360">
              <w:rPr>
                <w:rFonts w:ascii="Titillium" w:hAnsi="Titillium"/>
                <w:i/>
                <w:sz w:val="18"/>
                <w:szCs w:val="18"/>
              </w:rPr>
              <w:t>L</w:t>
            </w:r>
            <w:r>
              <w:rPr>
                <w:rFonts w:ascii="Titillium" w:hAnsi="Titillium"/>
                <w:i/>
                <w:sz w:val="18"/>
                <w:szCs w:val="18"/>
              </w:rPr>
              <w:t>a stazione appaltante deve dettagliare le modalità di calcolo della base d’asta, esplicitando le componenti e le relative quantità cui sono stati applicati i prezzi di riferimento.</w:t>
            </w:r>
          </w:p>
        </w:tc>
      </w:tr>
    </w:tbl>
    <w:p w14:paraId="3955EE6B" w14:textId="77777777" w:rsidR="00414909" w:rsidRDefault="00414909">
      <w:pPr>
        <w:spacing w:before="60" w:after="60"/>
        <w:rPr>
          <w:rFonts w:ascii="Titillium" w:hAnsi="Titillium"/>
          <w:b/>
          <w:i/>
          <w:szCs w:val="24"/>
        </w:rPr>
      </w:pPr>
    </w:p>
    <w:p w14:paraId="268F455E" w14:textId="72265659" w:rsidR="004C53A8" w:rsidRPr="00414909" w:rsidRDefault="00870286">
      <w:pPr>
        <w:spacing w:before="60" w:after="60"/>
        <w:rPr>
          <w:rFonts w:ascii="Titillium" w:hAnsi="Titillium"/>
          <w:b/>
          <w:i/>
          <w:sz w:val="18"/>
          <w:szCs w:val="18"/>
        </w:rPr>
      </w:pPr>
      <w:r>
        <w:rPr>
          <w:rFonts w:ascii="Titillium" w:hAnsi="Titillium"/>
          <w:b/>
          <w:i/>
          <w:sz w:val="18"/>
          <w:szCs w:val="18"/>
        </w:rPr>
        <w:t>[o in alternativa, in caso di suddivisione in lotti, sostituire il testo precedente con quello seguente]</w:t>
      </w:r>
    </w:p>
    <w:p w14:paraId="6164EF4D" w14:textId="77777777" w:rsidR="004C53A8" w:rsidRDefault="00870286">
      <w:pPr>
        <w:spacing w:before="60" w:after="60"/>
        <w:rPr>
          <w:rFonts w:ascii="Titillium" w:hAnsi="Titillium"/>
          <w:sz w:val="18"/>
          <w:szCs w:val="18"/>
        </w:rPr>
      </w:pPr>
      <w:r>
        <w:rPr>
          <w:rFonts w:ascii="Titillium" w:hAnsi="Titillium"/>
          <w:sz w:val="18"/>
          <w:szCs w:val="18"/>
        </w:rPr>
        <w:t>L’appalto è suddiviso nei seguenti lotti:</w:t>
      </w:r>
    </w:p>
    <w:p w14:paraId="783D5A1A" w14:textId="3C9C8785"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6F0CBC">
        <w:rPr>
          <w:rFonts w:ascii="Titillium" w:hAnsi="Titillium"/>
          <w:noProof/>
          <w:sz w:val="18"/>
        </w:rPr>
        <w:t>1</w:t>
      </w:r>
      <w:r>
        <w:rPr>
          <w:rFonts w:ascii="Titillium" w:hAnsi="Titillium"/>
          <w:sz w:val="18"/>
        </w:rPr>
        <w:fldChar w:fldCharType="end"/>
      </w:r>
    </w:p>
    <w:tbl>
      <w:tblPr>
        <w:tblW w:w="9209" w:type="dxa"/>
        <w:tblInd w:w="-108" w:type="dxa"/>
        <w:tblLook w:val="04A0" w:firstRow="1" w:lastRow="0" w:firstColumn="1" w:lastColumn="0" w:noHBand="0" w:noVBand="1"/>
      </w:tblPr>
      <w:tblGrid>
        <w:gridCol w:w="845"/>
        <w:gridCol w:w="3265"/>
        <w:gridCol w:w="2550"/>
        <w:gridCol w:w="2549"/>
      </w:tblGrid>
      <w:tr w:rsidR="004C53A8" w14:paraId="6B19DCB4" w14:textId="77777777" w:rsidTr="00F36360">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B67E52" w14:textId="77777777" w:rsidR="004C53A8" w:rsidRDefault="00870286">
            <w:pPr>
              <w:jc w:val="center"/>
              <w:rPr>
                <w:rFonts w:ascii="Titillium" w:hAnsi="Titillium"/>
                <w:sz w:val="18"/>
                <w:szCs w:val="18"/>
              </w:rPr>
            </w:pPr>
            <w:r>
              <w:rPr>
                <w:rFonts w:ascii="Titillium" w:hAnsi="Titillium"/>
                <w:sz w:val="18"/>
                <w:szCs w:val="18"/>
              </w:rPr>
              <w:t>Numero lotto</w:t>
            </w:r>
          </w:p>
        </w:tc>
        <w:tc>
          <w:tcPr>
            <w:tcW w:w="3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18F8C3" w14:textId="77777777" w:rsidR="004C53A8" w:rsidRPr="00F86058" w:rsidRDefault="00870286">
            <w:pPr>
              <w:jc w:val="center"/>
              <w:rPr>
                <w:rFonts w:ascii="Titillium" w:hAnsi="Titillium"/>
                <w:sz w:val="18"/>
                <w:szCs w:val="18"/>
              </w:rPr>
            </w:pPr>
            <w:r w:rsidRPr="00F86058">
              <w:rPr>
                <w:rFonts w:ascii="Titillium" w:hAnsi="Titillium"/>
                <w:sz w:val="18"/>
                <w:szCs w:val="18"/>
              </w:rPr>
              <w:t>Oggetto del lotto</w:t>
            </w:r>
          </w:p>
        </w:tc>
        <w:tc>
          <w:tcPr>
            <w:tcW w:w="2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0C3D0A" w14:textId="77777777" w:rsidR="004C53A8" w:rsidRPr="00F86058" w:rsidRDefault="00870286">
            <w:pPr>
              <w:jc w:val="center"/>
              <w:rPr>
                <w:rFonts w:ascii="Titillium" w:hAnsi="Titillium"/>
                <w:sz w:val="18"/>
                <w:szCs w:val="18"/>
              </w:rPr>
            </w:pPr>
            <w:r w:rsidRPr="00F86058">
              <w:rPr>
                <w:rFonts w:ascii="Titillium" w:hAnsi="Titillium"/>
                <w:sz w:val="18"/>
                <w:szCs w:val="18"/>
              </w:rPr>
              <w:t>CIG</w:t>
            </w:r>
          </w:p>
        </w:tc>
        <w:tc>
          <w:tcPr>
            <w:tcW w:w="2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E6733" w14:textId="77777777" w:rsidR="004C53A8" w:rsidRPr="00F86058" w:rsidRDefault="00870286">
            <w:pPr>
              <w:jc w:val="center"/>
              <w:rPr>
                <w:rFonts w:ascii="Titillium" w:hAnsi="Titillium"/>
                <w:sz w:val="18"/>
                <w:szCs w:val="18"/>
              </w:rPr>
            </w:pPr>
            <w:r w:rsidRPr="00F86058">
              <w:rPr>
                <w:rFonts w:ascii="Titillium" w:hAnsi="Titillium"/>
                <w:sz w:val="18"/>
                <w:szCs w:val="18"/>
              </w:rPr>
              <w:t>Importo</w:t>
            </w:r>
          </w:p>
        </w:tc>
      </w:tr>
      <w:tr w:rsidR="004C53A8" w14:paraId="38D535B4" w14:textId="77777777" w:rsidTr="00F36360">
        <w:tc>
          <w:tcPr>
            <w:tcW w:w="845" w:type="dxa"/>
            <w:tcBorders>
              <w:top w:val="single" w:sz="4" w:space="0" w:color="000000"/>
              <w:left w:val="single" w:sz="4" w:space="0" w:color="000000"/>
              <w:bottom w:val="single" w:sz="4" w:space="0" w:color="000000"/>
              <w:right w:val="single" w:sz="4" w:space="0" w:color="000000"/>
            </w:tcBorders>
          </w:tcPr>
          <w:p w14:paraId="5A34CE24"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36D51285"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2734512F"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1D1B3BE3" w14:textId="77777777" w:rsidR="004C53A8" w:rsidRDefault="004C53A8"/>
        </w:tc>
      </w:tr>
      <w:tr w:rsidR="004C53A8" w14:paraId="62CC5A8E" w14:textId="77777777" w:rsidTr="00F36360">
        <w:tc>
          <w:tcPr>
            <w:tcW w:w="845" w:type="dxa"/>
            <w:tcBorders>
              <w:top w:val="single" w:sz="4" w:space="0" w:color="000000"/>
              <w:left w:val="single" w:sz="4" w:space="0" w:color="000000"/>
              <w:bottom w:val="single" w:sz="4" w:space="0" w:color="000000"/>
              <w:right w:val="single" w:sz="4" w:space="0" w:color="000000"/>
            </w:tcBorders>
          </w:tcPr>
          <w:p w14:paraId="667A03BE"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71EE898E"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671FFE40"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5169CC38" w14:textId="77777777" w:rsidR="004C53A8" w:rsidRDefault="004C53A8"/>
        </w:tc>
      </w:tr>
      <w:tr w:rsidR="004C53A8" w14:paraId="0BB7450D" w14:textId="77777777" w:rsidTr="00F36360">
        <w:tc>
          <w:tcPr>
            <w:tcW w:w="845" w:type="dxa"/>
            <w:tcBorders>
              <w:top w:val="single" w:sz="4" w:space="0" w:color="000000"/>
              <w:left w:val="single" w:sz="4" w:space="0" w:color="000000"/>
              <w:bottom w:val="single" w:sz="4" w:space="0" w:color="000000"/>
              <w:right w:val="single" w:sz="4" w:space="0" w:color="000000"/>
            </w:tcBorders>
          </w:tcPr>
          <w:p w14:paraId="54BAEE19"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224D203B"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03DA4789"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67F70CE9" w14:textId="77777777" w:rsidR="004C53A8" w:rsidRDefault="004C53A8"/>
        </w:tc>
      </w:tr>
      <w:tr w:rsidR="004C53A8" w14:paraId="44F7A226" w14:textId="77777777" w:rsidTr="00F36360">
        <w:tc>
          <w:tcPr>
            <w:tcW w:w="845" w:type="dxa"/>
            <w:tcBorders>
              <w:top w:val="single" w:sz="4" w:space="0" w:color="000000"/>
              <w:left w:val="single" w:sz="4" w:space="0" w:color="000000"/>
              <w:bottom w:val="single" w:sz="4" w:space="0" w:color="000000"/>
              <w:right w:val="single" w:sz="4" w:space="0" w:color="000000"/>
            </w:tcBorders>
          </w:tcPr>
          <w:p w14:paraId="10E0C79C"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1A5674E1"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01CEA0FA"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6F024400" w14:textId="77777777" w:rsidR="004C53A8" w:rsidRDefault="004C53A8"/>
        </w:tc>
      </w:tr>
    </w:tbl>
    <w:p w14:paraId="75F17B48" w14:textId="77777777" w:rsidR="004C53A8" w:rsidRDefault="004C53A8"/>
    <w:p w14:paraId="1C8B3201" w14:textId="77777777" w:rsidR="004C53A8" w:rsidRDefault="00870286">
      <w:pPr>
        <w:spacing w:before="60" w:after="60"/>
        <w:rPr>
          <w:rFonts w:ascii="Titillium" w:hAnsi="Titillium"/>
          <w:sz w:val="18"/>
          <w:szCs w:val="18"/>
        </w:rPr>
      </w:pPr>
      <w:r>
        <w:rPr>
          <w:rFonts w:ascii="Titillium" w:hAnsi="Titillium"/>
          <w:sz w:val="18"/>
          <w:szCs w:val="18"/>
        </w:rPr>
        <w:lastRenderedPageBreak/>
        <w:t>Il dettaglio delle prestazioni oggetto di ogni lotto è il seguente:</w:t>
      </w:r>
    </w:p>
    <w:p w14:paraId="230A1393" w14:textId="77777777" w:rsidR="004C53A8" w:rsidRDefault="00870286">
      <w:pPr>
        <w:spacing w:before="60" w:after="60"/>
        <w:rPr>
          <w:rFonts w:ascii="Titillium" w:hAnsi="Titillium"/>
          <w:i/>
          <w:sz w:val="18"/>
          <w:szCs w:val="18"/>
        </w:rPr>
      </w:pPr>
      <w:r>
        <w:rPr>
          <w:rFonts w:ascii="Titillium" w:hAnsi="Titillium"/>
          <w:i/>
          <w:sz w:val="18"/>
          <w:szCs w:val="18"/>
        </w:rPr>
        <w:t>[Ripetere per ogni lotto fino al periodo relativo ai prezzi di riferimento pubblicati da ANAC]</w:t>
      </w:r>
    </w:p>
    <w:p w14:paraId="549DC59E" w14:textId="77777777" w:rsidR="004C53A8" w:rsidRDefault="00870286">
      <w:pPr>
        <w:spacing w:before="60" w:after="60"/>
      </w:pPr>
      <w:r>
        <w:rPr>
          <w:rFonts w:ascii="Titillium" w:hAnsi="Titillium"/>
          <w:b/>
          <w:sz w:val="18"/>
          <w:szCs w:val="18"/>
        </w:rPr>
        <w:t xml:space="preserve">Lotto n. </w:t>
      </w:r>
      <w:r>
        <w:rPr>
          <w:rFonts w:ascii="Titillium" w:hAnsi="Titillium"/>
          <w:i/>
          <w:sz w:val="18"/>
          <w:szCs w:val="18"/>
        </w:rPr>
        <w:t>...</w:t>
      </w:r>
      <w:r>
        <w:rPr>
          <w:rFonts w:ascii="Titillium" w:hAnsi="Titillium"/>
          <w:b/>
          <w:sz w:val="18"/>
          <w:szCs w:val="18"/>
        </w:rPr>
        <w:t xml:space="preserve"> </w:t>
      </w:r>
      <w:r>
        <w:rPr>
          <w:rFonts w:ascii="Titillium" w:hAnsi="Titillium"/>
          <w:i/>
          <w:sz w:val="18"/>
          <w:szCs w:val="18"/>
        </w:rPr>
        <w:t xml:space="preserve">[indicare il numero di lotto] </w:t>
      </w:r>
      <w:r>
        <w:rPr>
          <w:rFonts w:ascii="Titillium" w:hAnsi="Titillium"/>
          <w:b/>
          <w:i/>
          <w:sz w:val="18"/>
          <w:szCs w:val="18"/>
        </w:rPr>
        <w:t xml:space="preserve">CIG </w:t>
      </w:r>
      <w:r>
        <w:rPr>
          <w:rFonts w:ascii="Titillium" w:hAnsi="Titillium"/>
          <w:i/>
          <w:sz w:val="18"/>
          <w:szCs w:val="18"/>
        </w:rPr>
        <w:t xml:space="preserve">… </w:t>
      </w:r>
    </w:p>
    <w:p w14:paraId="43B328B9" w14:textId="0AF491A7"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6F0CBC">
        <w:rPr>
          <w:rFonts w:ascii="Titillium" w:hAnsi="Titillium"/>
          <w:noProof/>
          <w:sz w:val="18"/>
        </w:rPr>
        <w:t>2</w:t>
      </w:r>
      <w:r>
        <w:rPr>
          <w:rFonts w:ascii="Titillium" w:hAnsi="Titillium"/>
          <w:sz w:val="18"/>
        </w:rPr>
        <w:fldChar w:fldCharType="end"/>
      </w:r>
    </w:p>
    <w:tbl>
      <w:tblPr>
        <w:tblW w:w="9067" w:type="dxa"/>
        <w:tblInd w:w="-108" w:type="dxa"/>
        <w:tblLook w:val="04A0" w:firstRow="1" w:lastRow="0" w:firstColumn="1" w:lastColumn="0" w:noHBand="0" w:noVBand="1"/>
      </w:tblPr>
      <w:tblGrid>
        <w:gridCol w:w="421"/>
        <w:gridCol w:w="4252"/>
        <w:gridCol w:w="1128"/>
        <w:gridCol w:w="1282"/>
        <w:gridCol w:w="1984"/>
      </w:tblGrid>
      <w:tr w:rsidR="004C53A8" w14:paraId="1114987F" w14:textId="77777777">
        <w:tc>
          <w:tcPr>
            <w:tcW w:w="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2E1161" w14:textId="77777777" w:rsidR="004C53A8" w:rsidRDefault="00870286">
            <w:pPr>
              <w:spacing w:before="60" w:after="60"/>
              <w:jc w:val="center"/>
              <w:rPr>
                <w:rFonts w:ascii="Titillium" w:hAnsi="Titillium"/>
                <w:sz w:val="18"/>
                <w:szCs w:val="18"/>
              </w:rPr>
            </w:pPr>
            <w:r>
              <w:rPr>
                <w:rFonts w:ascii="Titillium" w:hAnsi="Titillium"/>
                <w:sz w:val="18"/>
                <w:szCs w:val="18"/>
              </w:rPr>
              <w:t>n.</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D9DB7" w14:textId="77777777" w:rsidR="004C53A8" w:rsidRDefault="00870286">
            <w:pPr>
              <w:spacing w:before="60" w:after="60"/>
              <w:jc w:val="center"/>
              <w:rPr>
                <w:rFonts w:ascii="Titillium" w:hAnsi="Titillium"/>
                <w:sz w:val="18"/>
                <w:szCs w:val="18"/>
              </w:rPr>
            </w:pPr>
            <w:r>
              <w:rPr>
                <w:rFonts w:ascii="Titillium" w:hAnsi="Titillium"/>
                <w:sz w:val="18"/>
                <w:szCs w:val="18"/>
              </w:rPr>
              <w:t>Descrizione servizi/beni</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784967" w14:textId="77777777" w:rsidR="004C53A8" w:rsidRDefault="00870286">
            <w:pPr>
              <w:spacing w:before="60" w:after="60"/>
              <w:jc w:val="center"/>
              <w:rPr>
                <w:rFonts w:ascii="Titillium" w:hAnsi="Titillium"/>
                <w:sz w:val="18"/>
                <w:szCs w:val="18"/>
              </w:rPr>
            </w:pPr>
            <w:r>
              <w:rPr>
                <w:rFonts w:ascii="Titillium" w:hAnsi="Titillium"/>
                <w:sz w:val="18"/>
                <w:szCs w:val="18"/>
              </w:rPr>
              <w:t>CPV</w:t>
            </w:r>
          </w:p>
        </w:tc>
        <w:tc>
          <w:tcPr>
            <w:tcW w:w="12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A4B8AE" w14:textId="77777777" w:rsidR="004C53A8" w:rsidRDefault="00870286">
            <w:pPr>
              <w:spacing w:before="60" w:after="60"/>
              <w:jc w:val="center"/>
              <w:rPr>
                <w:rFonts w:ascii="Titillium" w:hAnsi="Titillium"/>
                <w:sz w:val="18"/>
                <w:szCs w:val="18"/>
              </w:rPr>
            </w:pPr>
            <w:r>
              <w:rPr>
                <w:rFonts w:ascii="Titillium" w:hAnsi="Titillium"/>
                <w:sz w:val="18"/>
                <w:szCs w:val="18"/>
              </w:rPr>
              <w:t>P (principale)</w:t>
            </w:r>
          </w:p>
          <w:p w14:paraId="3E4DB0E5" w14:textId="77777777" w:rsidR="004C53A8" w:rsidRDefault="00870286">
            <w:pPr>
              <w:spacing w:before="60" w:after="60"/>
              <w:jc w:val="center"/>
              <w:rPr>
                <w:rFonts w:ascii="Titillium" w:hAnsi="Titillium"/>
                <w:sz w:val="18"/>
                <w:szCs w:val="18"/>
              </w:rPr>
            </w:pPr>
            <w:r>
              <w:rPr>
                <w:rFonts w:ascii="Titillium" w:hAnsi="Titillium"/>
                <w:sz w:val="18"/>
                <w:szCs w:val="18"/>
              </w:rPr>
              <w:t>S (secondaria)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8182F" w14:textId="77777777" w:rsidR="004C53A8" w:rsidRDefault="00870286">
            <w:pPr>
              <w:spacing w:before="60" w:after="60"/>
              <w:jc w:val="center"/>
              <w:rPr>
                <w:rFonts w:ascii="Titillium" w:hAnsi="Titillium"/>
                <w:sz w:val="18"/>
                <w:szCs w:val="18"/>
              </w:rPr>
            </w:pPr>
            <w:r>
              <w:rPr>
                <w:rFonts w:ascii="Titillium" w:hAnsi="Titillium"/>
                <w:sz w:val="18"/>
                <w:szCs w:val="18"/>
              </w:rPr>
              <w:t>Importo</w:t>
            </w:r>
          </w:p>
        </w:tc>
      </w:tr>
      <w:tr w:rsidR="004C53A8" w14:paraId="361E31FC"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5E2AF64F" w14:textId="77777777" w:rsidR="004C53A8" w:rsidRDefault="00870286">
            <w:pPr>
              <w:spacing w:before="60" w:after="60"/>
              <w:jc w:val="center"/>
              <w:rPr>
                <w:rFonts w:ascii="Titillium" w:hAnsi="Titillium"/>
                <w:sz w:val="18"/>
                <w:szCs w:val="18"/>
              </w:rPr>
            </w:pPr>
            <w:r>
              <w:rPr>
                <w:rFonts w:ascii="Titillium" w:hAnsi="Titillium"/>
                <w:sz w:val="18"/>
                <w:szCs w:val="18"/>
              </w:rPr>
              <w:t>1</w:t>
            </w:r>
          </w:p>
        </w:tc>
        <w:tc>
          <w:tcPr>
            <w:tcW w:w="4252" w:type="dxa"/>
            <w:tcBorders>
              <w:top w:val="single" w:sz="4" w:space="0" w:color="000000"/>
              <w:left w:val="single" w:sz="4" w:space="0" w:color="000000"/>
              <w:bottom w:val="single" w:sz="4" w:space="0" w:color="000000"/>
              <w:right w:val="single" w:sz="4" w:space="0" w:color="000000"/>
            </w:tcBorders>
            <w:vAlign w:val="center"/>
          </w:tcPr>
          <w:p w14:paraId="31381B0D"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072A035"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878ECF7"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227A629" w14:textId="77777777" w:rsidR="004C53A8" w:rsidRDefault="004C53A8">
            <w:pPr>
              <w:spacing w:before="60" w:after="60"/>
              <w:jc w:val="center"/>
              <w:rPr>
                <w:rFonts w:ascii="Titillium" w:hAnsi="Titillium"/>
                <w:sz w:val="18"/>
                <w:szCs w:val="18"/>
              </w:rPr>
            </w:pPr>
          </w:p>
        </w:tc>
      </w:tr>
      <w:tr w:rsidR="004C53A8" w14:paraId="1CDD4F77"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3F706823" w14:textId="77777777" w:rsidR="004C53A8" w:rsidRDefault="00870286">
            <w:pPr>
              <w:spacing w:before="60" w:after="60"/>
              <w:jc w:val="center"/>
              <w:rPr>
                <w:rFonts w:ascii="Titillium" w:hAnsi="Titillium"/>
                <w:sz w:val="18"/>
                <w:szCs w:val="18"/>
              </w:rPr>
            </w:pPr>
            <w:r>
              <w:rPr>
                <w:rFonts w:ascii="Titillium" w:hAnsi="Titillium"/>
                <w:sz w:val="18"/>
                <w:szCs w:val="18"/>
              </w:rPr>
              <w:t>2</w:t>
            </w:r>
          </w:p>
        </w:tc>
        <w:tc>
          <w:tcPr>
            <w:tcW w:w="4252" w:type="dxa"/>
            <w:tcBorders>
              <w:top w:val="single" w:sz="4" w:space="0" w:color="000000"/>
              <w:left w:val="single" w:sz="4" w:space="0" w:color="000000"/>
              <w:bottom w:val="single" w:sz="4" w:space="0" w:color="000000"/>
              <w:right w:val="single" w:sz="4" w:space="0" w:color="000000"/>
            </w:tcBorders>
            <w:vAlign w:val="center"/>
          </w:tcPr>
          <w:p w14:paraId="5657ED84"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63FC2E3"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7244173"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4EFC174" w14:textId="77777777" w:rsidR="004C53A8" w:rsidRDefault="004C53A8">
            <w:pPr>
              <w:spacing w:before="60" w:after="60"/>
              <w:jc w:val="center"/>
              <w:rPr>
                <w:rFonts w:ascii="Titillium" w:hAnsi="Titillium"/>
                <w:sz w:val="18"/>
                <w:szCs w:val="18"/>
              </w:rPr>
            </w:pPr>
          </w:p>
        </w:tc>
      </w:tr>
      <w:tr w:rsidR="004C53A8" w14:paraId="79B75F6F"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713E5747" w14:textId="77777777" w:rsidR="004C53A8" w:rsidRDefault="00870286">
            <w:pPr>
              <w:spacing w:before="60" w:after="60"/>
              <w:jc w:val="center"/>
              <w:rPr>
                <w:rFonts w:ascii="Titillium" w:hAnsi="Titillium"/>
                <w:sz w:val="18"/>
                <w:szCs w:val="18"/>
              </w:rPr>
            </w:pPr>
            <w:r>
              <w:rPr>
                <w:rFonts w:ascii="Titillium" w:hAnsi="Titillium"/>
                <w:sz w:val="18"/>
                <w:szCs w:val="18"/>
              </w:rPr>
              <w:t>3</w:t>
            </w:r>
          </w:p>
        </w:tc>
        <w:tc>
          <w:tcPr>
            <w:tcW w:w="4252" w:type="dxa"/>
            <w:tcBorders>
              <w:top w:val="single" w:sz="4" w:space="0" w:color="000000"/>
              <w:left w:val="single" w:sz="4" w:space="0" w:color="000000"/>
              <w:bottom w:val="single" w:sz="4" w:space="0" w:color="000000"/>
              <w:right w:val="single" w:sz="4" w:space="0" w:color="000000"/>
            </w:tcBorders>
            <w:vAlign w:val="center"/>
          </w:tcPr>
          <w:p w14:paraId="7FA730D5"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C0946E7"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AF1D892"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B0E2BE9" w14:textId="77777777" w:rsidR="004C53A8" w:rsidRDefault="004C53A8">
            <w:pPr>
              <w:spacing w:before="60" w:after="60"/>
              <w:jc w:val="center"/>
              <w:rPr>
                <w:rFonts w:ascii="Titillium" w:hAnsi="Titillium"/>
                <w:sz w:val="18"/>
                <w:szCs w:val="18"/>
              </w:rPr>
            </w:pPr>
          </w:p>
        </w:tc>
      </w:tr>
      <w:tr w:rsidR="004C53A8" w14:paraId="19962213"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0AD524B5" w14:textId="77777777" w:rsidR="004C53A8" w:rsidRDefault="00870286" w:rsidP="00601972">
            <w:pPr>
              <w:pStyle w:val="Paragrafoelenco"/>
              <w:numPr>
                <w:ilvl w:val="0"/>
                <w:numId w:val="30"/>
              </w:numPr>
              <w:spacing w:before="60" w:after="60"/>
              <w:ind w:left="2542" w:hanging="283"/>
              <w:jc w:val="left"/>
              <w:rPr>
                <w:rFonts w:ascii="Titillium" w:hAnsi="Titillium"/>
                <w:b/>
                <w:sz w:val="18"/>
                <w:szCs w:val="18"/>
              </w:rPr>
            </w:pPr>
            <w:r>
              <w:rPr>
                <w:rFonts w:ascii="Titillium" w:hAnsi="Titillium"/>
                <w:b/>
                <w:sz w:val="18"/>
                <w:szCs w:val="18"/>
              </w:rPr>
              <w:t>Importo totale soggetto a ribasso</w:t>
            </w:r>
          </w:p>
        </w:tc>
        <w:tc>
          <w:tcPr>
            <w:tcW w:w="1984" w:type="dxa"/>
            <w:tcBorders>
              <w:top w:val="single" w:sz="4" w:space="0" w:color="000000"/>
              <w:left w:val="single" w:sz="4" w:space="0" w:color="000000"/>
              <w:bottom w:val="single" w:sz="4" w:space="0" w:color="000000"/>
              <w:right w:val="single" w:sz="4" w:space="0" w:color="000000"/>
            </w:tcBorders>
            <w:vAlign w:val="center"/>
          </w:tcPr>
          <w:p w14:paraId="2DEDDF24" w14:textId="77777777" w:rsidR="004C53A8" w:rsidRDefault="004C53A8">
            <w:pPr>
              <w:spacing w:before="60" w:after="60"/>
              <w:jc w:val="center"/>
              <w:rPr>
                <w:rFonts w:ascii="Titillium" w:hAnsi="Titillium"/>
                <w:sz w:val="18"/>
                <w:szCs w:val="18"/>
              </w:rPr>
            </w:pPr>
          </w:p>
        </w:tc>
      </w:tr>
      <w:tr w:rsidR="004C53A8" w14:paraId="189BF704"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2FA5FD02" w14:textId="4FF3C5D9" w:rsidR="004C53A8" w:rsidRPr="00347BFB" w:rsidRDefault="00870286" w:rsidP="00601972">
            <w:pPr>
              <w:pStyle w:val="Paragrafoelenco"/>
              <w:numPr>
                <w:ilvl w:val="0"/>
                <w:numId w:val="30"/>
              </w:numPr>
              <w:spacing w:before="60" w:after="60"/>
              <w:ind w:left="2542" w:hanging="283"/>
              <w:jc w:val="left"/>
              <w:rPr>
                <w:rFonts w:ascii="Titillium" w:hAnsi="Titillium"/>
                <w:b/>
                <w:sz w:val="18"/>
                <w:szCs w:val="18"/>
              </w:rPr>
            </w:pPr>
            <w:r>
              <w:rPr>
                <w:rFonts w:ascii="Titillium" w:hAnsi="Titillium"/>
                <w:b/>
                <w:sz w:val="18"/>
                <w:szCs w:val="18"/>
              </w:rPr>
              <w:t xml:space="preserve">Oneri per la sicurezza da interferenze non soggetti a ribasso </w:t>
            </w:r>
            <w:r w:rsidRPr="00347BFB">
              <w:rPr>
                <w:rFonts w:ascii="Titillium" w:hAnsi="Titillium"/>
                <w:bCs/>
                <w:sz w:val="18"/>
                <w:szCs w:val="18"/>
              </w:rPr>
              <w:t>[indicare € 0,00 in caso di assenza di rischi]</w:t>
            </w:r>
          </w:p>
        </w:tc>
        <w:tc>
          <w:tcPr>
            <w:tcW w:w="1984" w:type="dxa"/>
            <w:tcBorders>
              <w:top w:val="single" w:sz="4" w:space="0" w:color="000000"/>
              <w:left w:val="single" w:sz="4" w:space="0" w:color="000000"/>
              <w:bottom w:val="single" w:sz="4" w:space="0" w:color="000000"/>
              <w:right w:val="single" w:sz="4" w:space="0" w:color="000000"/>
            </w:tcBorders>
            <w:vAlign w:val="center"/>
          </w:tcPr>
          <w:p w14:paraId="0DE801DB" w14:textId="77777777" w:rsidR="004C53A8" w:rsidRDefault="004C53A8">
            <w:pPr>
              <w:spacing w:before="60" w:after="60"/>
              <w:jc w:val="center"/>
              <w:rPr>
                <w:rFonts w:ascii="Titillium" w:hAnsi="Titillium"/>
                <w:sz w:val="18"/>
                <w:szCs w:val="18"/>
              </w:rPr>
            </w:pPr>
          </w:p>
        </w:tc>
      </w:tr>
      <w:tr w:rsidR="004C53A8" w14:paraId="6EB2668C"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26020BB" w14:textId="10A619E3" w:rsidR="004C53A8" w:rsidRDefault="00870286" w:rsidP="00166536">
            <w:pPr>
              <w:spacing w:before="60" w:after="60"/>
              <w:ind w:left="2259"/>
              <w:jc w:val="left"/>
              <w:rPr>
                <w:rFonts w:ascii="Titillium" w:hAnsi="Titillium"/>
                <w:b/>
                <w:sz w:val="18"/>
                <w:szCs w:val="18"/>
              </w:rPr>
            </w:pPr>
            <w:r>
              <w:rPr>
                <w:rFonts w:ascii="Titillium" w:hAnsi="Titillium"/>
                <w:b/>
                <w:sz w:val="18"/>
                <w:szCs w:val="18"/>
              </w:rPr>
              <w:t xml:space="preserve">   A) + B)  Importo complessivo a base di gara</w:t>
            </w:r>
          </w:p>
        </w:tc>
        <w:tc>
          <w:tcPr>
            <w:tcW w:w="1984" w:type="dxa"/>
            <w:tcBorders>
              <w:top w:val="single" w:sz="4" w:space="0" w:color="000000"/>
              <w:left w:val="single" w:sz="4" w:space="0" w:color="000000"/>
              <w:bottom w:val="single" w:sz="4" w:space="0" w:color="000000"/>
              <w:right w:val="single" w:sz="4" w:space="0" w:color="000000"/>
            </w:tcBorders>
            <w:vAlign w:val="center"/>
          </w:tcPr>
          <w:p w14:paraId="2CD47C54" w14:textId="77777777" w:rsidR="004C53A8" w:rsidRDefault="004C53A8">
            <w:pPr>
              <w:spacing w:before="60" w:after="60"/>
              <w:jc w:val="center"/>
              <w:rPr>
                <w:rFonts w:ascii="Titillium" w:hAnsi="Titillium"/>
                <w:sz w:val="18"/>
                <w:szCs w:val="18"/>
              </w:rPr>
            </w:pPr>
          </w:p>
        </w:tc>
      </w:tr>
    </w:tbl>
    <w:p w14:paraId="0CB75ABE" w14:textId="77777777" w:rsidR="00CF20F8" w:rsidRDefault="00CF20F8">
      <w:pPr>
        <w:spacing w:before="60" w:after="60"/>
        <w:rPr>
          <w:rFonts w:ascii="Titillium" w:hAnsi="Titillium"/>
          <w:sz w:val="18"/>
          <w:szCs w:val="18"/>
        </w:rPr>
      </w:pPr>
    </w:p>
    <w:p w14:paraId="409F8E51" w14:textId="77777777" w:rsidR="00C32E81" w:rsidRDefault="00C32E81" w:rsidP="00C32E81">
      <w:pPr>
        <w:rPr>
          <w:rFonts w:ascii="Titillium" w:hAnsi="Titillium"/>
          <w:sz w:val="18"/>
          <w:szCs w:val="18"/>
        </w:rPr>
      </w:pPr>
      <w:r>
        <w:rPr>
          <w:rFonts w:ascii="Titillium" w:hAnsi="Titillium"/>
          <w:sz w:val="18"/>
          <w:szCs w:val="18"/>
        </w:rPr>
        <w:t>L’importo complessivo a base di gara, pari a € … è al netto di</w:t>
      </w:r>
      <w:r>
        <w:rPr>
          <w:rFonts w:ascii="Titillium" w:hAnsi="Titillium"/>
          <w:i/>
          <w:sz w:val="18"/>
          <w:szCs w:val="18"/>
        </w:rPr>
        <w:t xml:space="preserve"> </w:t>
      </w:r>
      <w:r>
        <w:rPr>
          <w:rFonts w:ascii="Titillium" w:hAnsi="Titillium"/>
          <w:sz w:val="18"/>
          <w:szCs w:val="18"/>
        </w:rPr>
        <w:t>Iva e/o di altre imposte e contributi di legge, nonché degli oneri per la sicurezza dovuti a rischi da interferenze.</w:t>
      </w:r>
    </w:p>
    <w:p w14:paraId="44238C5F" w14:textId="77777777" w:rsidR="00C32E81" w:rsidRPr="00C32E81" w:rsidRDefault="00C32E81" w:rsidP="00C32E81">
      <w:pPr>
        <w:spacing w:before="60" w:after="60"/>
        <w:rPr>
          <w:rFonts w:ascii="Titillium" w:hAnsi="Titillium" w:cs="Calibri"/>
          <w:sz w:val="18"/>
          <w:szCs w:val="18"/>
        </w:rPr>
      </w:pPr>
      <w:r w:rsidRPr="00C32E81">
        <w:rPr>
          <w:rFonts w:ascii="Titillium" w:hAnsi="Titillium" w:cs="Calibri"/>
          <w:sz w:val="18"/>
          <w:szCs w:val="18"/>
        </w:rPr>
        <w:t>L’importo degli oneri per la sicurezza d</w:t>
      </w:r>
      <w:r>
        <w:rPr>
          <w:rFonts w:ascii="Titillium" w:hAnsi="Titillium" w:cs="Calibri"/>
          <w:sz w:val="18"/>
          <w:szCs w:val="18"/>
        </w:rPr>
        <w:t xml:space="preserve">a interferenze è pari a € ... Iva e/o altre imposte e </w:t>
      </w:r>
      <w:r w:rsidRPr="00C32E81">
        <w:rPr>
          <w:rFonts w:ascii="Titillium" w:hAnsi="Titillium" w:cs="Calibri"/>
          <w:sz w:val="18"/>
          <w:szCs w:val="18"/>
        </w:rPr>
        <w:t xml:space="preserve">contributi di legge esclusi </w:t>
      </w:r>
      <w:r w:rsidRPr="00C32E81">
        <w:rPr>
          <w:rFonts w:ascii="Titillium" w:hAnsi="Titillium" w:cs="Calibri"/>
          <w:i/>
          <w:sz w:val="18"/>
          <w:szCs w:val="18"/>
        </w:rPr>
        <w:t>[indicare valore pari a € 0,00 in caso di assenza di rischi]</w:t>
      </w:r>
      <w:r>
        <w:rPr>
          <w:rFonts w:ascii="Titillium" w:hAnsi="Titillium" w:cs="Calibri"/>
          <w:sz w:val="18"/>
          <w:szCs w:val="18"/>
        </w:rPr>
        <w:t xml:space="preserve"> e non è soggetto a </w:t>
      </w:r>
      <w:r w:rsidRPr="00C32E81">
        <w:rPr>
          <w:rFonts w:ascii="Titillium" w:hAnsi="Titillium" w:cs="Calibri"/>
          <w:sz w:val="18"/>
          <w:szCs w:val="18"/>
        </w:rPr>
        <w:t>ribasso.</w:t>
      </w:r>
    </w:p>
    <w:p w14:paraId="22CCF546" w14:textId="77777777" w:rsidR="00C32E81" w:rsidRDefault="00C32E81" w:rsidP="00C32E81">
      <w:r>
        <w:rPr>
          <w:rFonts w:ascii="Titillium" w:hAnsi="Titillium"/>
          <w:sz w:val="18"/>
          <w:szCs w:val="18"/>
        </w:rPr>
        <w:t>L’appalto è finanziato con ...</w:t>
      </w:r>
      <w:r>
        <w:rPr>
          <w:rFonts w:ascii="Titillium" w:hAnsi="Titillium"/>
          <w:i/>
          <w:sz w:val="18"/>
          <w:szCs w:val="18"/>
        </w:rPr>
        <w:t xml:space="preserve"> [descrivere le fonti di finanziamento]</w:t>
      </w:r>
      <w:r>
        <w:rPr>
          <w:rFonts w:ascii="Titillium" w:hAnsi="Titillium"/>
          <w:sz w:val="18"/>
          <w:szCs w:val="18"/>
        </w:rPr>
        <w:t>.</w:t>
      </w:r>
    </w:p>
    <w:p w14:paraId="2BEA5353" w14:textId="77777777" w:rsidR="00C32E81" w:rsidRDefault="00C32E81" w:rsidP="00C32E81">
      <w:pPr>
        <w:spacing w:before="60" w:after="60"/>
        <w:rPr>
          <w:rFonts w:ascii="Titillium" w:hAnsi="Titillium"/>
          <w:sz w:val="18"/>
          <w:szCs w:val="18"/>
        </w:rPr>
      </w:pPr>
    </w:p>
    <w:p w14:paraId="3AA20137" w14:textId="67F07196" w:rsidR="004C53A8" w:rsidRDefault="00E504AF">
      <w:pPr>
        <w:spacing w:before="60" w:after="60"/>
      </w:pPr>
      <w:r w:rsidRPr="00C32E81">
        <w:rPr>
          <w:rFonts w:ascii="Titillium" w:hAnsi="Titillium"/>
          <w:b/>
          <w:i/>
          <w:sz w:val="18"/>
          <w:szCs w:val="18"/>
        </w:rPr>
        <w:t>[In caso di appalto di servizi o appalto misto di servizi e forniture]</w:t>
      </w:r>
      <w:r>
        <w:rPr>
          <w:rFonts w:ascii="Titillium" w:hAnsi="Titillium"/>
          <w:sz w:val="18"/>
          <w:szCs w:val="18"/>
        </w:rPr>
        <w:t xml:space="preserve"> L</w:t>
      </w:r>
      <w:r w:rsidR="00870286">
        <w:rPr>
          <w:rFonts w:ascii="Titillium" w:hAnsi="Titillium"/>
          <w:sz w:val="18"/>
          <w:szCs w:val="18"/>
        </w:rPr>
        <w:t xml:space="preserve">’importo posto a base del lotto comprende i costi della manodopera che la stazione appaltante ha stimato pari </w:t>
      </w:r>
      <w:r w:rsidR="00371A47">
        <w:rPr>
          <w:rFonts w:ascii="Titillium" w:hAnsi="Titillium"/>
          <w:sz w:val="18"/>
          <w:szCs w:val="18"/>
        </w:rPr>
        <w:t xml:space="preserve">a </w:t>
      </w:r>
      <w:r w:rsidR="00870286">
        <w:rPr>
          <w:rFonts w:ascii="Titillium" w:hAnsi="Titillium"/>
          <w:sz w:val="18"/>
          <w:szCs w:val="18"/>
        </w:rPr>
        <w:t xml:space="preserve">€ </w:t>
      </w:r>
      <w:r w:rsidR="00870286">
        <w:rPr>
          <w:rFonts w:ascii="Titillium" w:hAnsi="Titillium"/>
          <w:i/>
          <w:sz w:val="18"/>
          <w:szCs w:val="18"/>
        </w:rPr>
        <w:t>…</w:t>
      </w:r>
      <w:r w:rsidR="00870286">
        <w:rPr>
          <w:rFonts w:ascii="Titillium" w:hAnsi="Titillium"/>
          <w:sz w:val="18"/>
          <w:szCs w:val="18"/>
        </w:rPr>
        <w:t xml:space="preserve"> calcolati sulla base dei seguenti elementi … </w:t>
      </w:r>
      <w:r w:rsidR="00870286">
        <w:rPr>
          <w:rFonts w:ascii="Titillium" w:hAnsi="Titillium"/>
          <w:i/>
          <w:sz w:val="18"/>
          <w:szCs w:val="18"/>
        </w:rPr>
        <w:t>[precisare gli elementi attraverso i quali si è pervenuti alla determinazione del costo stimato] e riferiti a [specificare a quali servizi o forniture si riferiscono i costi della manodopera].</w:t>
      </w:r>
    </w:p>
    <w:p w14:paraId="7415763E" w14:textId="77777777" w:rsidR="004C53A8" w:rsidRDefault="004C53A8">
      <w:pPr>
        <w:spacing w:before="60" w:after="60"/>
        <w:rPr>
          <w:rFonts w:ascii="Titillium" w:hAnsi="Titillium" w:cs="Calibri"/>
          <w:b/>
          <w:i/>
          <w:sz w:val="18"/>
          <w:szCs w:val="18"/>
        </w:rPr>
      </w:pPr>
    </w:p>
    <w:tbl>
      <w:tblPr>
        <w:tblW w:w="9210" w:type="dxa"/>
        <w:tblInd w:w="-108" w:type="dxa"/>
        <w:tblLook w:val="04A0" w:firstRow="1" w:lastRow="0" w:firstColumn="1" w:lastColumn="0" w:noHBand="0" w:noVBand="1"/>
      </w:tblPr>
      <w:tblGrid>
        <w:gridCol w:w="9210"/>
      </w:tblGrid>
      <w:tr w:rsidR="004C53A8" w14:paraId="43D42BC1" w14:textId="77777777">
        <w:tc>
          <w:tcPr>
            <w:tcW w:w="9210" w:type="dxa"/>
            <w:tcBorders>
              <w:top w:val="single" w:sz="4" w:space="0" w:color="000000"/>
              <w:left w:val="single" w:sz="4" w:space="0" w:color="000000"/>
              <w:bottom w:val="single" w:sz="4" w:space="0" w:color="000000"/>
              <w:right w:val="single" w:sz="4" w:space="0" w:color="000000"/>
            </w:tcBorders>
          </w:tcPr>
          <w:p w14:paraId="76660B80" w14:textId="6A636150" w:rsidR="004C53A8" w:rsidRDefault="00870286" w:rsidP="00485A3D">
            <w:pPr>
              <w:spacing w:before="60" w:after="60"/>
            </w:pPr>
            <w:r>
              <w:rPr>
                <w:rFonts w:ascii="Titillium" w:hAnsi="Titillium"/>
                <w:i/>
                <w:sz w:val="18"/>
                <w:szCs w:val="18"/>
              </w:rPr>
              <w:t xml:space="preserve">N.B. </w:t>
            </w:r>
            <w:r w:rsidR="00485A3D">
              <w:rPr>
                <w:rFonts w:ascii="Titillium" w:hAnsi="Titillium"/>
                <w:i/>
                <w:sz w:val="18"/>
                <w:szCs w:val="18"/>
              </w:rPr>
              <w:t xml:space="preserve"> I</w:t>
            </w:r>
            <w:r>
              <w:rPr>
                <w:rFonts w:ascii="Titillium" w:hAnsi="Titillium"/>
                <w:i/>
                <w:sz w:val="18"/>
                <w:szCs w:val="18"/>
              </w:rPr>
              <w:t>n considerazione di  quanto disposto all’articolo 95, comma 10 del Codice, non deve essere indicata la stima dei costi della manodopera nel caso di servizi di natura intellettuale e delle forniture senza posa in opera.</w:t>
            </w:r>
          </w:p>
        </w:tc>
      </w:tr>
    </w:tbl>
    <w:p w14:paraId="3D9F6780" w14:textId="77777777" w:rsidR="004C53A8" w:rsidRDefault="004C53A8">
      <w:pPr>
        <w:spacing w:before="60" w:after="60"/>
        <w:rPr>
          <w:rFonts w:ascii="Titillium" w:hAnsi="Titillium" w:cs="Calibri"/>
          <w:b/>
          <w:i/>
          <w:sz w:val="18"/>
          <w:szCs w:val="18"/>
        </w:rPr>
      </w:pPr>
    </w:p>
    <w:p w14:paraId="275271EB" w14:textId="765734C9" w:rsidR="004C53A8" w:rsidRDefault="00870286">
      <w:pPr>
        <w:spacing w:before="60" w:after="60"/>
      </w:pPr>
      <w:r>
        <w:rPr>
          <w:rFonts w:ascii="Titillium" w:hAnsi="Titillium" w:cs="Calibri"/>
          <w:b/>
          <w:i/>
          <w:sz w:val="18"/>
          <w:szCs w:val="18"/>
        </w:rPr>
        <w:t xml:space="preserve">[Eventuale in caso di pubblicazione dei prezzi di riferimento dei beni o servizi oggetto di affidamento] </w:t>
      </w:r>
      <w:r>
        <w:rPr>
          <w:rFonts w:ascii="Titillium" w:hAnsi="Titillium"/>
          <w:sz w:val="18"/>
          <w:szCs w:val="18"/>
        </w:rPr>
        <w:t xml:space="preserve">L’importo a base di gara del lotto è stato calcolato considerando i prezzi di riferimento per … </w:t>
      </w:r>
      <w:r>
        <w:rPr>
          <w:rFonts w:ascii="Titillium" w:hAnsi="Titillium"/>
          <w:i/>
          <w:sz w:val="18"/>
          <w:szCs w:val="18"/>
        </w:rPr>
        <w:t>[inserire i beni o servizi]</w:t>
      </w:r>
      <w:r>
        <w:rPr>
          <w:rFonts w:ascii="Titillium" w:hAnsi="Titillium"/>
          <w:sz w:val="18"/>
          <w:szCs w:val="18"/>
        </w:rPr>
        <w:t xml:space="preserve">, rilevazione anno … </w:t>
      </w:r>
      <w:r>
        <w:rPr>
          <w:rFonts w:ascii="Titillium" w:hAnsi="Titillium"/>
          <w:i/>
          <w:sz w:val="18"/>
          <w:szCs w:val="18"/>
        </w:rPr>
        <w:t>[inserire ultimo anno di rilevazione]</w:t>
      </w:r>
      <w:r>
        <w:rPr>
          <w:rFonts w:ascii="Titillium" w:hAnsi="Titillium"/>
          <w:sz w:val="18"/>
          <w:szCs w:val="18"/>
        </w:rPr>
        <w:t xml:space="preserve"> pubblicati dall’ANAC con delibera n. … del …  in relazione alla stima dei fabbisogni dettagliati nel progetto allegato al presente disciplinare.</w:t>
      </w:r>
    </w:p>
    <w:p w14:paraId="20E904BD" w14:textId="77777777" w:rsidR="004C53A8" w:rsidRDefault="004C53A8">
      <w:pPr>
        <w:spacing w:before="60" w:after="60"/>
        <w:rPr>
          <w:rFonts w:ascii="Titillium" w:hAnsi="Titillium"/>
          <w:sz w:val="18"/>
          <w:szCs w:val="18"/>
        </w:rPr>
      </w:pPr>
    </w:p>
    <w:tbl>
      <w:tblPr>
        <w:tblW w:w="9210" w:type="dxa"/>
        <w:tblInd w:w="-108" w:type="dxa"/>
        <w:tblLook w:val="04A0" w:firstRow="1" w:lastRow="0" w:firstColumn="1" w:lastColumn="0" w:noHBand="0" w:noVBand="1"/>
      </w:tblPr>
      <w:tblGrid>
        <w:gridCol w:w="9210"/>
      </w:tblGrid>
      <w:tr w:rsidR="004C53A8" w14:paraId="6AF08072" w14:textId="77777777">
        <w:tc>
          <w:tcPr>
            <w:tcW w:w="9210" w:type="dxa"/>
            <w:tcBorders>
              <w:top w:val="single" w:sz="4" w:space="0" w:color="000000"/>
              <w:left w:val="single" w:sz="4" w:space="0" w:color="000000"/>
              <w:bottom w:val="single" w:sz="4" w:space="0" w:color="000000"/>
              <w:right w:val="single" w:sz="4" w:space="0" w:color="000000"/>
            </w:tcBorders>
          </w:tcPr>
          <w:p w14:paraId="26677B43" w14:textId="4ADB3AF1" w:rsidR="004C53A8" w:rsidRDefault="00870286" w:rsidP="00485A3D">
            <w:pPr>
              <w:spacing w:before="60" w:after="60"/>
              <w:rPr>
                <w:rFonts w:ascii="Titillium" w:hAnsi="Titillium"/>
                <w:i/>
                <w:sz w:val="18"/>
                <w:szCs w:val="18"/>
              </w:rPr>
            </w:pPr>
            <w:r>
              <w:rPr>
                <w:rFonts w:ascii="Titillium" w:hAnsi="Titillium"/>
                <w:i/>
                <w:sz w:val="18"/>
                <w:szCs w:val="18"/>
              </w:rPr>
              <w:t xml:space="preserve">N.B. </w:t>
            </w:r>
            <w:r w:rsidR="00485A3D">
              <w:rPr>
                <w:rFonts w:ascii="Titillium" w:hAnsi="Titillium"/>
                <w:i/>
                <w:sz w:val="18"/>
                <w:szCs w:val="18"/>
              </w:rPr>
              <w:t>L</w:t>
            </w:r>
            <w:r>
              <w:rPr>
                <w:rFonts w:ascii="Titillium" w:hAnsi="Titillium"/>
                <w:i/>
                <w:sz w:val="18"/>
                <w:szCs w:val="18"/>
              </w:rPr>
              <w:t>a stazione appaltante deve dettagliare le modalità di calcolo della base d’asta, esplicitando le componenti e le relative quantità cui sono stati applicati i prezzi di riferimento.</w:t>
            </w:r>
          </w:p>
        </w:tc>
      </w:tr>
    </w:tbl>
    <w:p w14:paraId="277C7DB7" w14:textId="77777777" w:rsidR="004C53A8" w:rsidRDefault="004C53A8">
      <w:pPr>
        <w:spacing w:before="60" w:after="60"/>
        <w:jc w:val="left"/>
        <w:rPr>
          <w:rFonts w:ascii="Titillium" w:hAnsi="Titillium"/>
          <w:b/>
          <w:szCs w:val="24"/>
        </w:rPr>
      </w:pPr>
    </w:p>
    <w:p w14:paraId="6DEFA953" w14:textId="5E8BEFA2" w:rsidR="004C53A8" w:rsidRDefault="00870286">
      <w:pPr>
        <w:spacing w:before="120" w:after="60"/>
      </w:pPr>
      <w:r>
        <w:rPr>
          <w:rFonts w:ascii="Titillium" w:hAnsi="Titillium"/>
          <w:b/>
          <w:i/>
          <w:sz w:val="18"/>
          <w:szCs w:val="18"/>
        </w:rPr>
        <w:t>[Facoltativo] Limitazione della partecipazione ad un numero massimo di lotti</w:t>
      </w:r>
    </w:p>
    <w:p w14:paraId="5AB2D720" w14:textId="0F238119" w:rsidR="00526C8E" w:rsidRDefault="00870286">
      <w:pPr>
        <w:spacing w:before="60" w:after="60"/>
        <w:rPr>
          <w:rFonts w:ascii="Titillium" w:hAnsi="Titillium"/>
          <w:i/>
          <w:sz w:val="18"/>
          <w:szCs w:val="18"/>
        </w:rPr>
      </w:pPr>
      <w:r>
        <w:rPr>
          <w:rFonts w:ascii="Titillium" w:eastAsia="Calibri" w:hAnsi="Titillium"/>
          <w:sz w:val="18"/>
          <w:szCs w:val="18"/>
          <w:lang w:eastAsia="it-IT"/>
        </w:rPr>
        <w:t>Ciascun concorrente può presentare</w:t>
      </w:r>
      <w:r>
        <w:rPr>
          <w:rFonts w:ascii="Titillium" w:hAnsi="Titillium"/>
          <w:sz w:val="18"/>
          <w:szCs w:val="18"/>
        </w:rPr>
        <w:t xml:space="preserve"> offerta per un numero massimo di … </w:t>
      </w:r>
      <w:r>
        <w:rPr>
          <w:rFonts w:ascii="Titillium" w:hAnsi="Titillium"/>
          <w:i/>
          <w:sz w:val="18"/>
          <w:szCs w:val="18"/>
        </w:rPr>
        <w:t>[inserire il numero massimo di lotti a cui si può partecipare]</w:t>
      </w:r>
      <w:r w:rsidR="00E11EBF">
        <w:rPr>
          <w:rFonts w:ascii="Titillium" w:hAnsi="Titillium"/>
          <w:i/>
          <w:sz w:val="18"/>
          <w:szCs w:val="18"/>
        </w:rPr>
        <w:t xml:space="preserve"> </w:t>
      </w:r>
      <w:r w:rsidR="0002298D">
        <w:rPr>
          <w:rFonts w:ascii="Titillium" w:hAnsi="Titillium"/>
          <w:sz w:val="18"/>
          <w:szCs w:val="18"/>
        </w:rPr>
        <w:t>lotti</w:t>
      </w:r>
      <w:r>
        <w:rPr>
          <w:rFonts w:ascii="Titillium" w:hAnsi="Titillium"/>
          <w:sz w:val="18"/>
          <w:szCs w:val="18"/>
        </w:rPr>
        <w:t xml:space="preserve">, ai sensi dell’articolo 51, comma 2 del Codice. In caso di partecipazione ad un numero maggiore di lotti </w:t>
      </w:r>
      <w:r>
        <w:rPr>
          <w:rFonts w:ascii="Titillium" w:hAnsi="Titillium"/>
          <w:sz w:val="18"/>
          <w:szCs w:val="18"/>
        </w:rPr>
        <w:lastRenderedPageBreak/>
        <w:t xml:space="preserve">rispetto a quanto consentito, la domanda si considera presentata per </w:t>
      </w:r>
      <w:r>
        <w:rPr>
          <w:rFonts w:ascii="Titillium" w:hAnsi="Titillium"/>
          <w:i/>
          <w:sz w:val="18"/>
          <w:szCs w:val="18"/>
        </w:rPr>
        <w:t>… [indicare il criterio per la individuazione dei lotti ai quali riferire la domanda di partecipazione, per esempio i lotti di maggiore valore economico].</w:t>
      </w:r>
    </w:p>
    <w:p w14:paraId="1AFF8434" w14:textId="6AF9E5AE" w:rsidR="003538D4" w:rsidRPr="002A4654" w:rsidRDefault="003538D4">
      <w:pPr>
        <w:spacing w:before="60" w:after="60"/>
        <w:rPr>
          <w:rFonts w:ascii="Titillium" w:hAnsi="Titillium"/>
          <w:sz w:val="18"/>
          <w:szCs w:val="18"/>
        </w:rPr>
      </w:pPr>
      <w:r>
        <w:rPr>
          <w:rFonts w:ascii="Titillium" w:hAnsi="Titillium"/>
          <w:sz w:val="18"/>
          <w:szCs w:val="18"/>
        </w:rPr>
        <w:t xml:space="preserve">Ai fini del conteggio del numero massimo dei lotti a cui si può partecipare, si tiene conto se </w:t>
      </w:r>
      <w:r w:rsidRPr="003538D4">
        <w:rPr>
          <w:rFonts w:ascii="Titillium" w:hAnsi="Titillium"/>
          <w:sz w:val="18"/>
          <w:szCs w:val="18"/>
        </w:rPr>
        <w:t>l'operatore economico si trovi rispetto ad un altro partecipante</w:t>
      </w:r>
      <w:r>
        <w:rPr>
          <w:rFonts w:ascii="Titillium" w:hAnsi="Titillium"/>
          <w:sz w:val="18"/>
          <w:szCs w:val="18"/>
        </w:rPr>
        <w:t xml:space="preserve"> a diversi lotti </w:t>
      </w:r>
      <w:r w:rsidRPr="003538D4">
        <w:rPr>
          <w:rFonts w:ascii="Titillium" w:hAnsi="Titillium"/>
          <w:sz w:val="18"/>
          <w:szCs w:val="18"/>
        </w:rPr>
        <w:t>in una situazione di controllo di cui all'articolo 2359 del codice civile o in una qualsiasi relazione, anche di fatto, se la situazione di controllo o la relazione comporti che le offerte sono imputabili ad un unico centro decisionale.</w:t>
      </w:r>
    </w:p>
    <w:p w14:paraId="0DA1A728" w14:textId="3E5D8953" w:rsidR="004C53A8" w:rsidRDefault="00870286">
      <w:pPr>
        <w:spacing w:before="120" w:after="60"/>
        <w:rPr>
          <w:rFonts w:ascii="Titillium" w:hAnsi="Titillium"/>
          <w:b/>
          <w:i/>
          <w:sz w:val="18"/>
          <w:szCs w:val="18"/>
        </w:rPr>
      </w:pPr>
      <w:r>
        <w:rPr>
          <w:rFonts w:ascii="Titillium" w:hAnsi="Titillium"/>
          <w:b/>
          <w:i/>
          <w:sz w:val="18"/>
          <w:szCs w:val="18"/>
        </w:rPr>
        <w:t>[Facoltativo] Limitazione dell’aggiudicazione ad un numero massimo di lotti</w:t>
      </w:r>
    </w:p>
    <w:p w14:paraId="2C83FA43" w14:textId="105809B0" w:rsidR="00F36360" w:rsidRDefault="00870286" w:rsidP="003804C1">
      <w:pPr>
        <w:spacing w:before="60" w:after="60"/>
        <w:rPr>
          <w:rFonts w:ascii="Titillium" w:hAnsi="Titillium"/>
          <w:i/>
          <w:sz w:val="18"/>
          <w:szCs w:val="18"/>
        </w:rPr>
      </w:pPr>
      <w:r>
        <w:rPr>
          <w:rFonts w:ascii="Titillium" w:hAnsi="Titillium"/>
          <w:sz w:val="18"/>
          <w:szCs w:val="18"/>
        </w:rPr>
        <w:t xml:space="preserve">Nel caso in cui un concorrente risulti primo in graduatoria per più lotti, al medesimo potranno essere aggiudicati fino ad un massimo di n. ... </w:t>
      </w:r>
      <w:r>
        <w:rPr>
          <w:rFonts w:ascii="Titillium" w:hAnsi="Titillium"/>
          <w:i/>
          <w:sz w:val="18"/>
          <w:szCs w:val="18"/>
        </w:rPr>
        <w:t>[inserire numero massimo di lotti aggiudicabili]</w:t>
      </w:r>
      <w:r>
        <w:rPr>
          <w:rFonts w:ascii="Titillium" w:hAnsi="Titillium"/>
          <w:sz w:val="18"/>
          <w:szCs w:val="18"/>
        </w:rPr>
        <w:t xml:space="preserve">, </w:t>
      </w:r>
      <w:r w:rsidR="0002298D">
        <w:rPr>
          <w:rFonts w:ascii="Titillium" w:hAnsi="Titillium"/>
          <w:sz w:val="18"/>
          <w:szCs w:val="18"/>
        </w:rPr>
        <w:t xml:space="preserve">lotti </w:t>
      </w:r>
      <w:r>
        <w:rPr>
          <w:rFonts w:ascii="Titillium" w:hAnsi="Titillium"/>
          <w:sz w:val="18"/>
          <w:szCs w:val="18"/>
        </w:rPr>
        <w:t xml:space="preserve">che saranno individuati sulla base del criterio … </w:t>
      </w:r>
      <w:r>
        <w:rPr>
          <w:rFonts w:ascii="Titillium" w:hAnsi="Titillium"/>
          <w:i/>
          <w:sz w:val="18"/>
          <w:szCs w:val="18"/>
        </w:rPr>
        <w:t>[ai sensi dell’articolo 51, comma 3 del Codice, la stazione appaltante definisce il criterio, che deve essere oggettivo e non discriminatorio, per determinare quali lotti saranno aggiudicati].</w:t>
      </w:r>
      <w:r w:rsidR="003804C1">
        <w:rPr>
          <w:rFonts w:ascii="Titillium" w:hAnsi="Titillium"/>
          <w:i/>
          <w:sz w:val="18"/>
          <w:szCs w:val="18"/>
        </w:rPr>
        <w:t xml:space="preserve"> </w:t>
      </w:r>
    </w:p>
    <w:p w14:paraId="538CB1A3" w14:textId="4274DE59" w:rsidR="003538D4" w:rsidRPr="002A4654" w:rsidRDefault="003538D4" w:rsidP="003538D4">
      <w:pPr>
        <w:spacing w:before="60" w:after="60"/>
        <w:rPr>
          <w:rFonts w:ascii="Titillium" w:hAnsi="Titillium"/>
          <w:sz w:val="18"/>
          <w:szCs w:val="18"/>
        </w:rPr>
      </w:pPr>
      <w:r>
        <w:rPr>
          <w:rFonts w:ascii="Titillium" w:hAnsi="Titillium"/>
          <w:sz w:val="18"/>
          <w:szCs w:val="18"/>
        </w:rPr>
        <w:t xml:space="preserve">Ai fini del conteggio del numero massimo dei lotti aggiudicabili, si tiene conto se </w:t>
      </w:r>
      <w:r w:rsidRPr="003538D4">
        <w:rPr>
          <w:rFonts w:ascii="Titillium" w:hAnsi="Titillium"/>
          <w:sz w:val="18"/>
          <w:szCs w:val="18"/>
        </w:rPr>
        <w:t>l'operatore economico si trovi rispetto ad un altro partecipante</w:t>
      </w:r>
      <w:r>
        <w:rPr>
          <w:rFonts w:ascii="Titillium" w:hAnsi="Titillium"/>
          <w:sz w:val="18"/>
          <w:szCs w:val="18"/>
        </w:rPr>
        <w:t xml:space="preserve"> a diversi lotti </w:t>
      </w:r>
      <w:r w:rsidRPr="003538D4">
        <w:rPr>
          <w:rFonts w:ascii="Titillium" w:hAnsi="Titillium"/>
          <w:sz w:val="18"/>
          <w:szCs w:val="18"/>
        </w:rPr>
        <w:t>in una situazione di controllo di cui all'articolo 2359 del codice civile o in una qualsiasi relazione, anche di fatto, se la situazione di controllo o la relazione comporti che le offerte sono imputabili ad un unico centro decisionale.</w:t>
      </w:r>
    </w:p>
    <w:p w14:paraId="5E15F4E7" w14:textId="474B5506" w:rsidR="004C53A8" w:rsidRDefault="00870286" w:rsidP="003538D4">
      <w:pPr>
        <w:spacing w:before="60" w:after="60"/>
        <w:rPr>
          <w:rFonts w:ascii="Titillium" w:hAnsi="Titillium"/>
          <w:b/>
          <w:i/>
          <w:sz w:val="18"/>
          <w:szCs w:val="18"/>
        </w:rPr>
      </w:pPr>
      <w:r>
        <w:rPr>
          <w:rFonts w:ascii="Titillium" w:hAnsi="Titillium"/>
          <w:b/>
          <w:i/>
          <w:sz w:val="18"/>
          <w:szCs w:val="18"/>
        </w:rPr>
        <w:t>[Facoltativo] Associazione di lotti al medesimo offerente</w:t>
      </w:r>
    </w:p>
    <w:p w14:paraId="0B6133D0" w14:textId="66BE0B7E" w:rsidR="004C53A8" w:rsidRDefault="00870286">
      <w:pPr>
        <w:spacing w:before="60" w:after="60"/>
        <w:rPr>
          <w:rFonts w:ascii="Titillium" w:hAnsi="Titillium"/>
          <w:i/>
          <w:sz w:val="18"/>
          <w:szCs w:val="18"/>
        </w:rPr>
      </w:pPr>
      <w:r>
        <w:rPr>
          <w:rFonts w:ascii="Titillium" w:hAnsi="Titillium"/>
          <w:sz w:val="18"/>
          <w:szCs w:val="18"/>
        </w:rPr>
        <w:t xml:space="preserve">La stazione appaltante si riserva </w:t>
      </w:r>
      <w:r w:rsidR="006F1FC8">
        <w:rPr>
          <w:rFonts w:ascii="Titillium" w:hAnsi="Titillium"/>
          <w:sz w:val="18"/>
          <w:szCs w:val="18"/>
        </w:rPr>
        <w:t xml:space="preserve">la facoltà </w:t>
      </w:r>
      <w:r>
        <w:rPr>
          <w:rFonts w:ascii="Titillium" w:hAnsi="Titillium"/>
          <w:sz w:val="18"/>
          <w:szCs w:val="18"/>
        </w:rPr>
        <w:t>di aggiudicare in forma associata i lotti n. ...</w:t>
      </w:r>
      <w:r>
        <w:rPr>
          <w:rFonts w:ascii="Titillium" w:hAnsi="Titillium"/>
          <w:i/>
          <w:sz w:val="18"/>
          <w:szCs w:val="18"/>
        </w:rPr>
        <w:t xml:space="preserve"> [indicare i lotti specifici]</w:t>
      </w:r>
      <w:r>
        <w:rPr>
          <w:rFonts w:ascii="Titillium" w:hAnsi="Titillium"/>
          <w:sz w:val="18"/>
          <w:szCs w:val="18"/>
        </w:rPr>
        <w:t xml:space="preserve"> al medesimo offerente, ai sensi dell’articolo 51, comma 4 del Codice. La modalità mediante cui effettuare la valutazione comparativa tra le offerte sui singoli lotti e le offerte sulle associazioni di lotti è la seguente: ...</w:t>
      </w:r>
      <w:r>
        <w:rPr>
          <w:rFonts w:ascii="Titillium" w:hAnsi="Titillium"/>
          <w:i/>
          <w:sz w:val="18"/>
          <w:szCs w:val="18"/>
        </w:rPr>
        <w:t xml:space="preserve"> [indicare il criterio mediante cui effettuare la valutazione comparativa].</w:t>
      </w:r>
    </w:p>
    <w:p w14:paraId="3D214DD4" w14:textId="69816C59" w:rsidR="0066267A" w:rsidRPr="00EF3E51" w:rsidRDefault="0066267A">
      <w:pPr>
        <w:spacing w:before="60" w:after="60"/>
        <w:rPr>
          <w:rFonts w:ascii="Titillium" w:hAnsi="Titillium"/>
          <w:i/>
          <w:sz w:val="18"/>
          <w:szCs w:val="18"/>
        </w:rPr>
      </w:pPr>
    </w:p>
    <w:p w14:paraId="3C9A5919" w14:textId="28DE6A81" w:rsidR="004C53A8" w:rsidRDefault="004C667D">
      <w:pPr>
        <w:pStyle w:val="Titolo3"/>
        <w:numPr>
          <w:ilvl w:val="1"/>
          <w:numId w:val="4"/>
        </w:numPr>
        <w:ind w:left="426" w:hanging="426"/>
      </w:pPr>
      <w:bookmarkStart w:id="184" w:name="_Toc484688264"/>
      <w:bookmarkStart w:id="185" w:name="_Toc484605395"/>
      <w:bookmarkStart w:id="186" w:name="_Toc484605271"/>
      <w:bookmarkStart w:id="187" w:name="_Toc484526551"/>
      <w:bookmarkStart w:id="188" w:name="_Toc484449056"/>
      <w:bookmarkStart w:id="189" w:name="_Toc484448932"/>
      <w:bookmarkStart w:id="190" w:name="_Toc484448808"/>
      <w:bookmarkStart w:id="191" w:name="_Toc484448685"/>
      <w:bookmarkStart w:id="192" w:name="_Toc484448561"/>
      <w:bookmarkStart w:id="193" w:name="_Toc484448437"/>
      <w:bookmarkStart w:id="194" w:name="_Toc484448313"/>
      <w:bookmarkStart w:id="195" w:name="_Toc484448189"/>
      <w:bookmarkStart w:id="196" w:name="_Toc484448064"/>
      <w:bookmarkStart w:id="197" w:name="_Toc484440405"/>
      <w:bookmarkStart w:id="198" w:name="_Toc484440045"/>
      <w:bookmarkStart w:id="199" w:name="_Toc484439921"/>
      <w:bookmarkStart w:id="200" w:name="_Toc484439798"/>
      <w:bookmarkStart w:id="201" w:name="_Toc484438878"/>
      <w:bookmarkStart w:id="202" w:name="_Toc484438754"/>
      <w:bookmarkStart w:id="203" w:name="_Toc484438630"/>
      <w:bookmarkStart w:id="204" w:name="_Toc484429055"/>
      <w:bookmarkStart w:id="205" w:name="_Toc484428885"/>
      <w:bookmarkStart w:id="206" w:name="_Toc484097713"/>
      <w:bookmarkStart w:id="207" w:name="_Toc484011639"/>
      <w:bookmarkStart w:id="208" w:name="_Toc484011164"/>
      <w:bookmarkStart w:id="209" w:name="_Toc484011042"/>
      <w:bookmarkStart w:id="210" w:name="_Toc484010920"/>
      <w:bookmarkStart w:id="211" w:name="_Toc484010796"/>
      <w:bookmarkStart w:id="212" w:name="_Toc484010674"/>
      <w:bookmarkStart w:id="213" w:name="_Toc483906924"/>
      <w:bookmarkStart w:id="214" w:name="_Toc483571547"/>
      <w:bookmarkStart w:id="215" w:name="_Toc483571426"/>
      <w:bookmarkStart w:id="216" w:name="_Toc483473997"/>
      <w:bookmarkStart w:id="217" w:name="_Toc483401200"/>
      <w:bookmarkStart w:id="218" w:name="_Toc483325721"/>
      <w:bookmarkStart w:id="219" w:name="_Toc483316418"/>
      <w:bookmarkStart w:id="220" w:name="_Toc483316287"/>
      <w:bookmarkStart w:id="221" w:name="_Toc483316084"/>
      <w:bookmarkStart w:id="222" w:name="_Toc483315878"/>
      <w:bookmarkStart w:id="223" w:name="_Toc483302328"/>
      <w:bookmarkStart w:id="224" w:name="_Toc485218255"/>
      <w:bookmarkStart w:id="225" w:name="_Toc484688819"/>
      <w:bookmarkStart w:id="226" w:name="_Toc9549588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Titillium" w:hAnsi="Titillium"/>
          <w:caps w:val="0"/>
          <w:sz w:val="18"/>
          <w:szCs w:val="18"/>
          <w:lang w:val="it-IT"/>
        </w:rPr>
        <w:t>D</w:t>
      </w:r>
      <w:r>
        <w:rPr>
          <w:rFonts w:ascii="Titillium" w:hAnsi="Titillium"/>
          <w:caps w:val="0"/>
          <w:sz w:val="18"/>
          <w:szCs w:val="18"/>
        </w:rPr>
        <w:t>URATA</w:t>
      </w:r>
      <w:bookmarkEnd w:id="226"/>
    </w:p>
    <w:p w14:paraId="0858E77B" w14:textId="77777777" w:rsidR="004C53A8" w:rsidRDefault="00870286">
      <w:pPr>
        <w:spacing w:before="120" w:after="60"/>
      </w:pPr>
      <w:r w:rsidRPr="00E7138C">
        <w:rPr>
          <w:rFonts w:ascii="Titillium" w:hAnsi="Titillium"/>
          <w:b/>
          <w:i/>
          <w:sz w:val="18"/>
          <w:szCs w:val="18"/>
        </w:rPr>
        <w:t>[In caso di appalto di servizi]</w:t>
      </w:r>
      <w:r>
        <w:rPr>
          <w:rFonts w:ascii="Titillium" w:hAnsi="Titillium"/>
          <w:sz w:val="18"/>
          <w:szCs w:val="18"/>
        </w:rPr>
        <w:t xml:space="preserve"> La durata dell’appalto (escluse le eventuali opzioni) è di … [</w:t>
      </w:r>
      <w:r>
        <w:rPr>
          <w:rFonts w:ascii="Titillium" w:hAnsi="Titillium"/>
          <w:i/>
          <w:sz w:val="18"/>
          <w:szCs w:val="18"/>
        </w:rPr>
        <w:t>indicare mesi/anni</w:t>
      </w:r>
      <w:r>
        <w:rPr>
          <w:rFonts w:ascii="Titillium" w:hAnsi="Titillium"/>
          <w:sz w:val="18"/>
          <w:szCs w:val="18"/>
        </w:rPr>
        <w:t>], decorrenti dalla data di … [</w:t>
      </w:r>
      <w:r>
        <w:rPr>
          <w:rFonts w:ascii="Titillium" w:hAnsi="Titillium"/>
          <w:i/>
          <w:sz w:val="18"/>
          <w:szCs w:val="18"/>
        </w:rPr>
        <w:t>indicare il termine iniziale: per esempio la sottoscrizione del contratto. In caso di suddivisione dell’appalto in più lotti specificare eventuali durate differenziate per ciascun lotto</w:t>
      </w:r>
      <w:r>
        <w:rPr>
          <w:rFonts w:ascii="Titillium" w:hAnsi="Titillium"/>
          <w:sz w:val="18"/>
          <w:szCs w:val="18"/>
        </w:rPr>
        <w:t>].</w:t>
      </w:r>
    </w:p>
    <w:p w14:paraId="55B51387" w14:textId="77777777" w:rsidR="004C53A8" w:rsidRDefault="00870286">
      <w:pPr>
        <w:spacing w:before="120" w:after="60"/>
      </w:pPr>
      <w:r w:rsidRPr="00E7138C">
        <w:rPr>
          <w:rFonts w:ascii="Titillium" w:hAnsi="Titillium"/>
          <w:b/>
          <w:i/>
          <w:sz w:val="18"/>
          <w:szCs w:val="18"/>
        </w:rPr>
        <w:t>[In caso di appalto di forniture]</w:t>
      </w:r>
      <w:r>
        <w:rPr>
          <w:rFonts w:ascii="Titillium" w:hAnsi="Titillium"/>
          <w:sz w:val="18"/>
          <w:szCs w:val="18"/>
        </w:rPr>
        <w:t xml:space="preserve"> La fornitura è effettuata ... [</w:t>
      </w:r>
      <w:r>
        <w:rPr>
          <w:rFonts w:ascii="Titillium" w:hAnsi="Titillium"/>
          <w:i/>
          <w:sz w:val="18"/>
          <w:szCs w:val="18"/>
        </w:rPr>
        <w:t>indicare i termini per l’esecuzione della fornitura, per esempio entro 30 giorni; con cadenza quindicinale secondo quanto specificato nel progetto</w:t>
      </w:r>
      <w:r>
        <w:rPr>
          <w:rFonts w:ascii="Titillium" w:hAnsi="Titillium"/>
          <w:sz w:val="18"/>
          <w:szCs w:val="18"/>
        </w:rPr>
        <w:t>], decorrenti dalla data di … [</w:t>
      </w:r>
      <w:r>
        <w:rPr>
          <w:rFonts w:ascii="Titillium" w:hAnsi="Titillium"/>
          <w:i/>
          <w:sz w:val="18"/>
          <w:szCs w:val="18"/>
        </w:rPr>
        <w:t>indicare il termine iniziale: per esempio la sottoscrizione del contratto. In caso di suddivisione dell’appalto in più lotti specificare eventuali durate differenziate per ciascun lotto</w:t>
      </w:r>
      <w:r>
        <w:rPr>
          <w:rFonts w:ascii="Titillium" w:hAnsi="Titillium"/>
          <w:sz w:val="18"/>
          <w:szCs w:val="18"/>
        </w:rPr>
        <w:t>].</w:t>
      </w:r>
    </w:p>
    <w:p w14:paraId="1EBB0493" w14:textId="38918D98" w:rsidR="004C53A8" w:rsidRDefault="004C667D">
      <w:pPr>
        <w:pStyle w:val="Titolo3"/>
        <w:numPr>
          <w:ilvl w:val="1"/>
          <w:numId w:val="4"/>
        </w:numPr>
        <w:ind w:left="426" w:hanging="426"/>
      </w:pPr>
      <w:bookmarkStart w:id="227" w:name="_Toc484688266"/>
      <w:bookmarkStart w:id="228" w:name="_Toc484605397"/>
      <w:bookmarkStart w:id="229" w:name="_Toc484605273"/>
      <w:bookmarkStart w:id="230" w:name="_Toc484526553"/>
      <w:bookmarkStart w:id="231" w:name="_Toc484449058"/>
      <w:bookmarkStart w:id="232" w:name="_Toc484448934"/>
      <w:bookmarkStart w:id="233" w:name="_Toc484448810"/>
      <w:bookmarkStart w:id="234" w:name="_Toc484448687"/>
      <w:bookmarkStart w:id="235" w:name="_Toc484448563"/>
      <w:bookmarkStart w:id="236" w:name="_Toc484448439"/>
      <w:bookmarkStart w:id="237" w:name="_Toc484448315"/>
      <w:bookmarkStart w:id="238" w:name="_Toc484448191"/>
      <w:bookmarkStart w:id="239" w:name="_Toc484448066"/>
      <w:bookmarkStart w:id="240" w:name="_Toc484440407"/>
      <w:bookmarkStart w:id="241" w:name="_Toc484440047"/>
      <w:bookmarkStart w:id="242" w:name="_Toc484439923"/>
      <w:bookmarkStart w:id="243" w:name="_Toc484439800"/>
      <w:bookmarkStart w:id="244" w:name="_Toc484438880"/>
      <w:bookmarkStart w:id="245" w:name="_Toc484438756"/>
      <w:bookmarkStart w:id="246" w:name="_Toc484438632"/>
      <w:bookmarkStart w:id="247" w:name="_Toc484429057"/>
      <w:bookmarkStart w:id="248" w:name="_Toc484428887"/>
      <w:bookmarkStart w:id="249" w:name="_Toc484097715"/>
      <w:bookmarkStart w:id="250" w:name="_Toc484011641"/>
      <w:bookmarkStart w:id="251" w:name="_Toc484011166"/>
      <w:bookmarkStart w:id="252" w:name="_Toc484011044"/>
      <w:bookmarkStart w:id="253" w:name="_Toc484010922"/>
      <w:bookmarkStart w:id="254" w:name="_Toc484010798"/>
      <w:bookmarkStart w:id="255" w:name="_Toc484010676"/>
      <w:bookmarkStart w:id="256" w:name="_Toc483906926"/>
      <w:bookmarkStart w:id="257" w:name="_Toc483571549"/>
      <w:bookmarkStart w:id="258" w:name="_Toc483571428"/>
      <w:bookmarkStart w:id="259" w:name="_Toc483473999"/>
      <w:bookmarkStart w:id="260" w:name="_Toc483401202"/>
      <w:bookmarkStart w:id="261" w:name="_Toc483325723"/>
      <w:bookmarkStart w:id="262" w:name="_Toc483316420"/>
      <w:bookmarkStart w:id="263" w:name="_Toc483316289"/>
      <w:bookmarkStart w:id="264" w:name="_Toc483316086"/>
      <w:bookmarkStart w:id="265" w:name="_Toc483315880"/>
      <w:bookmarkStart w:id="266" w:name="_Toc483302330"/>
      <w:bookmarkStart w:id="267" w:name="_Toc482098999"/>
      <w:bookmarkStart w:id="268" w:name="_Toc482097901"/>
      <w:bookmarkStart w:id="269" w:name="_Toc482097709"/>
      <w:bookmarkStart w:id="270" w:name="_Toc482097620"/>
      <w:bookmarkStart w:id="271" w:name="_Toc482097531"/>
      <w:bookmarkStart w:id="272" w:name="_Toc482025708"/>
      <w:bookmarkStart w:id="273" w:name="_Toc485218257"/>
      <w:bookmarkStart w:id="274" w:name="_Toc484688821"/>
      <w:bookmarkStart w:id="275" w:name="_Toc95495883"/>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ascii="Titillium" w:hAnsi="Titillium"/>
          <w:caps w:val="0"/>
          <w:sz w:val="18"/>
          <w:szCs w:val="18"/>
          <w:lang w:val="it-IT"/>
        </w:rPr>
        <w:t>O</w:t>
      </w:r>
      <w:r>
        <w:rPr>
          <w:rFonts w:ascii="Titillium" w:hAnsi="Titillium"/>
          <w:caps w:val="0"/>
          <w:sz w:val="18"/>
          <w:szCs w:val="18"/>
        </w:rPr>
        <w:t>PZIONI</w:t>
      </w:r>
      <w:r>
        <w:rPr>
          <w:rFonts w:ascii="Titillium" w:hAnsi="Titillium"/>
          <w:caps w:val="0"/>
          <w:sz w:val="18"/>
          <w:szCs w:val="18"/>
          <w:lang w:val="it-IT"/>
        </w:rPr>
        <w:t xml:space="preserve"> E RINNOVI</w:t>
      </w:r>
      <w:bookmarkEnd w:id="275"/>
    </w:p>
    <w:p w14:paraId="07AB4FC6" w14:textId="77777777" w:rsidR="004C53A8" w:rsidRPr="00E7138C" w:rsidRDefault="00870286">
      <w:pPr>
        <w:spacing w:before="60" w:after="60"/>
        <w:rPr>
          <w:rFonts w:ascii="Titillium" w:hAnsi="Titillium" w:cs="Calibri"/>
          <w:b/>
          <w:i/>
          <w:iCs/>
          <w:sz w:val="18"/>
          <w:szCs w:val="18"/>
        </w:rPr>
      </w:pPr>
      <w:r w:rsidRPr="00E7138C">
        <w:rPr>
          <w:rFonts w:ascii="Titillium" w:hAnsi="Titillium" w:cs="Calibri"/>
          <w:b/>
          <w:i/>
          <w:iCs/>
          <w:sz w:val="18"/>
          <w:szCs w:val="18"/>
        </w:rPr>
        <w:t xml:space="preserve">[In caso di suddivisione dell’appalto in più lotti specificare, per ciascuno di essi, le seguenti clausole] </w:t>
      </w:r>
    </w:p>
    <w:p w14:paraId="522026A3" w14:textId="4C68840D" w:rsidR="004C53A8" w:rsidRDefault="00870286">
      <w:pPr>
        <w:spacing w:before="60" w:after="60"/>
      </w:pPr>
      <w:r w:rsidRPr="00E7138C">
        <w:rPr>
          <w:rFonts w:ascii="Titillium" w:hAnsi="Titillium"/>
          <w:b/>
          <w:bCs/>
          <w:i/>
          <w:sz w:val="18"/>
          <w:szCs w:val="18"/>
        </w:rPr>
        <w:t>[</w:t>
      </w:r>
      <w:r w:rsidRPr="00E7138C">
        <w:rPr>
          <w:rFonts w:ascii="Titillium" w:hAnsi="Titillium"/>
          <w:b/>
          <w:i/>
          <w:sz w:val="18"/>
          <w:szCs w:val="18"/>
        </w:rPr>
        <w:t>Facoltativo.</w:t>
      </w:r>
      <w:r w:rsidRPr="00E7138C">
        <w:rPr>
          <w:rFonts w:ascii="Titillium" w:hAnsi="Titillium"/>
          <w:b/>
          <w:bCs/>
          <w:i/>
          <w:sz w:val="18"/>
          <w:szCs w:val="18"/>
        </w:rPr>
        <w:t xml:space="preserve"> Rinnovo del contratto]</w:t>
      </w:r>
      <w:r>
        <w:rPr>
          <w:rFonts w:ascii="Titillium" w:hAnsi="Titillium"/>
          <w:sz w:val="18"/>
          <w:szCs w:val="24"/>
        </w:rPr>
        <w:t xml:space="preserve"> </w:t>
      </w:r>
      <w:r w:rsidR="00D4357C">
        <w:rPr>
          <w:rFonts w:ascii="Titillium" w:hAnsi="Titillium"/>
          <w:sz w:val="18"/>
          <w:szCs w:val="24"/>
        </w:rPr>
        <w:t>I</w:t>
      </w:r>
      <w:r>
        <w:rPr>
          <w:rFonts w:ascii="Titillium" w:hAnsi="Titillium" w:cs="Calibri"/>
          <w:iCs/>
          <w:sz w:val="18"/>
          <w:szCs w:val="18"/>
        </w:rPr>
        <w:t>l contratto</w:t>
      </w:r>
      <w:r w:rsidR="00D4357C">
        <w:rPr>
          <w:rFonts w:ascii="Titillium" w:hAnsi="Titillium" w:cs="Calibri"/>
          <w:iCs/>
          <w:sz w:val="18"/>
          <w:szCs w:val="18"/>
        </w:rPr>
        <w:t xml:space="preserve"> può essere rinnovato</w:t>
      </w:r>
      <w:r>
        <w:rPr>
          <w:rFonts w:ascii="Titillium" w:hAnsi="Titillium" w:cs="Calibri"/>
          <w:iCs/>
          <w:sz w:val="18"/>
          <w:szCs w:val="18"/>
        </w:rPr>
        <w:t xml:space="preserve">, alle medesime condizioni, per una durata pari a … </w:t>
      </w:r>
      <w:r>
        <w:rPr>
          <w:rFonts w:ascii="Titillium" w:hAnsi="Titillium" w:cs="Calibri"/>
          <w:i/>
          <w:iCs/>
          <w:sz w:val="18"/>
          <w:szCs w:val="18"/>
        </w:rPr>
        <w:t>[indicare una durata non superiore a quella del contratto iniziale]</w:t>
      </w:r>
      <w:r>
        <w:rPr>
          <w:rFonts w:ascii="Titillium" w:hAnsi="Titillium" w:cs="Calibri"/>
          <w:iCs/>
          <w:sz w:val="18"/>
          <w:szCs w:val="18"/>
        </w:rPr>
        <w:t xml:space="preserve">, per un importo di € … </w:t>
      </w:r>
      <w:r>
        <w:rPr>
          <w:rFonts w:ascii="Titillium" w:hAnsi="Titillium" w:cs="Calibri"/>
          <w:i/>
          <w:iCs/>
          <w:sz w:val="18"/>
          <w:szCs w:val="18"/>
        </w:rPr>
        <w:t>[indicare l’importo]</w:t>
      </w:r>
      <w:r>
        <w:rPr>
          <w:rFonts w:ascii="Titillium" w:hAnsi="Titillium" w:cs="Calibri"/>
          <w:sz w:val="18"/>
          <w:szCs w:val="18"/>
        </w:rPr>
        <w:t>, al netto di Iva e/o di altre imposte e contributi di legge, nonché degli oneri per la sicurezza dovuti a rischi da interferenze</w:t>
      </w:r>
      <w:r>
        <w:rPr>
          <w:rFonts w:ascii="Titillium" w:hAnsi="Titillium" w:cs="Calibri"/>
          <w:iCs/>
          <w:sz w:val="18"/>
          <w:szCs w:val="18"/>
        </w:rPr>
        <w:t xml:space="preserve">. </w:t>
      </w:r>
      <w:r w:rsidR="00D4357C">
        <w:rPr>
          <w:rFonts w:ascii="Titillium" w:hAnsi="Titillium" w:cs="Calibri"/>
          <w:iCs/>
          <w:sz w:val="18"/>
          <w:szCs w:val="18"/>
        </w:rPr>
        <w:t>L’</w:t>
      </w:r>
      <w:r>
        <w:rPr>
          <w:rFonts w:ascii="Titillium" w:hAnsi="Titillium" w:cs="Calibri"/>
          <w:iCs/>
          <w:sz w:val="18"/>
          <w:szCs w:val="18"/>
        </w:rPr>
        <w:t xml:space="preserve"> eserci</w:t>
      </w:r>
      <w:r w:rsidR="00D4357C">
        <w:rPr>
          <w:rFonts w:ascii="Titillium" w:hAnsi="Titillium" w:cs="Calibri"/>
          <w:iCs/>
          <w:sz w:val="18"/>
          <w:szCs w:val="18"/>
        </w:rPr>
        <w:t>zio di</w:t>
      </w:r>
      <w:r>
        <w:rPr>
          <w:rFonts w:ascii="Titillium" w:hAnsi="Titillium" w:cs="Calibri"/>
          <w:iCs/>
          <w:sz w:val="18"/>
          <w:szCs w:val="18"/>
        </w:rPr>
        <w:t xml:space="preserve"> tale facoltà </w:t>
      </w:r>
      <w:r w:rsidR="00D4357C">
        <w:rPr>
          <w:rFonts w:ascii="Titillium" w:hAnsi="Titillium" w:cs="Calibri"/>
          <w:iCs/>
          <w:sz w:val="18"/>
          <w:szCs w:val="18"/>
        </w:rPr>
        <w:t xml:space="preserve">è </w:t>
      </w:r>
      <w:r>
        <w:rPr>
          <w:rFonts w:ascii="Titillium" w:hAnsi="Titillium" w:cs="Calibri"/>
          <w:iCs/>
          <w:sz w:val="18"/>
          <w:szCs w:val="18"/>
        </w:rPr>
        <w:t>comunica</w:t>
      </w:r>
      <w:r w:rsidR="00D4357C">
        <w:rPr>
          <w:rFonts w:ascii="Titillium" w:hAnsi="Titillium" w:cs="Calibri"/>
          <w:iCs/>
          <w:sz w:val="18"/>
          <w:szCs w:val="18"/>
        </w:rPr>
        <w:t>to</w:t>
      </w:r>
      <w:r>
        <w:rPr>
          <w:rFonts w:ascii="Titillium" w:hAnsi="Titillium" w:cs="Calibri"/>
          <w:iCs/>
          <w:sz w:val="18"/>
          <w:szCs w:val="18"/>
        </w:rPr>
        <w:t xml:space="preserve"> all’appaltatore almeno … </w:t>
      </w:r>
      <w:r>
        <w:rPr>
          <w:rFonts w:ascii="Titillium" w:hAnsi="Titillium" w:cs="Calibri"/>
          <w:i/>
          <w:iCs/>
          <w:sz w:val="18"/>
          <w:szCs w:val="18"/>
        </w:rPr>
        <w:t>[indicare i giorni/mesi]</w:t>
      </w:r>
      <w:r>
        <w:rPr>
          <w:rFonts w:ascii="Titillium" w:hAnsi="Titillium" w:cs="Calibri"/>
          <w:iCs/>
          <w:sz w:val="18"/>
          <w:szCs w:val="18"/>
        </w:rPr>
        <w:t xml:space="preserve"> prima della scadenza del contratto.</w:t>
      </w:r>
    </w:p>
    <w:p w14:paraId="391BF007" w14:textId="70BF9BF6" w:rsidR="004C53A8" w:rsidRDefault="00870286">
      <w:pPr>
        <w:spacing w:before="60" w:after="60"/>
      </w:pPr>
      <w:r>
        <w:rPr>
          <w:rFonts w:ascii="Titillium" w:hAnsi="Titillium"/>
          <w:b/>
          <w:bCs/>
          <w:i/>
          <w:sz w:val="18"/>
          <w:szCs w:val="18"/>
        </w:rPr>
        <w:t>[</w:t>
      </w:r>
      <w:r>
        <w:rPr>
          <w:rFonts w:ascii="Titillium" w:hAnsi="Titillium"/>
          <w:b/>
          <w:i/>
          <w:sz w:val="18"/>
          <w:szCs w:val="18"/>
        </w:rPr>
        <w:t>Facoltativo.</w:t>
      </w:r>
      <w:r>
        <w:rPr>
          <w:rFonts w:ascii="Titillium" w:hAnsi="Titillium"/>
          <w:i/>
          <w:sz w:val="18"/>
          <w:szCs w:val="18"/>
        </w:rPr>
        <w:t xml:space="preserve"> </w:t>
      </w:r>
      <w:r>
        <w:rPr>
          <w:rFonts w:ascii="Titillium" w:hAnsi="Titillium"/>
          <w:b/>
          <w:bCs/>
          <w:i/>
          <w:sz w:val="18"/>
          <w:szCs w:val="18"/>
        </w:rPr>
        <w:t xml:space="preserve">Affidamento di servizi </w:t>
      </w:r>
      <w:r w:rsidRPr="00D4357C">
        <w:rPr>
          <w:rFonts w:ascii="Titillium" w:hAnsi="Titillium"/>
          <w:b/>
          <w:bCs/>
          <w:i/>
          <w:sz w:val="18"/>
          <w:szCs w:val="18"/>
        </w:rPr>
        <w:t>analoghi</w:t>
      </w:r>
      <w:r w:rsidR="00A926EC" w:rsidRPr="00D4357C">
        <w:rPr>
          <w:rFonts w:ascii="Titillium" w:hAnsi="Titillium" w:cs="Calibri"/>
          <w:b/>
          <w:i/>
          <w:iCs/>
          <w:sz w:val="18"/>
          <w:szCs w:val="18"/>
        </w:rPr>
        <w:t xml:space="preserve"> di cui all’</w:t>
      </w:r>
      <w:r w:rsidR="00895365">
        <w:rPr>
          <w:rFonts w:ascii="Titillium" w:hAnsi="Titillium" w:cs="Calibri"/>
          <w:b/>
          <w:i/>
          <w:iCs/>
          <w:sz w:val="18"/>
          <w:szCs w:val="18"/>
        </w:rPr>
        <w:t xml:space="preserve">articolo </w:t>
      </w:r>
      <w:r w:rsidR="00A926EC" w:rsidRPr="00D4357C">
        <w:rPr>
          <w:rFonts w:ascii="Titillium" w:hAnsi="Titillium" w:cs="Calibri"/>
          <w:b/>
          <w:i/>
          <w:iCs/>
          <w:sz w:val="18"/>
          <w:szCs w:val="18"/>
        </w:rPr>
        <w:t>63, comma 5</w:t>
      </w:r>
      <w:r w:rsidR="00EE1906" w:rsidRPr="00D4357C">
        <w:rPr>
          <w:rFonts w:ascii="Titillium" w:hAnsi="Titillium" w:cs="Calibri"/>
          <w:b/>
          <w:i/>
          <w:iCs/>
          <w:sz w:val="18"/>
          <w:szCs w:val="18"/>
        </w:rPr>
        <w:t>,</w:t>
      </w:r>
      <w:r w:rsidR="00A926EC" w:rsidRPr="00D4357C">
        <w:rPr>
          <w:rFonts w:ascii="Titillium" w:hAnsi="Titillium" w:cs="Calibri"/>
          <w:b/>
          <w:i/>
          <w:iCs/>
          <w:sz w:val="18"/>
          <w:szCs w:val="18"/>
        </w:rPr>
        <w:t xml:space="preserve"> del Codice</w:t>
      </w:r>
      <w:r>
        <w:rPr>
          <w:rFonts w:ascii="Titillium" w:hAnsi="Titillium"/>
          <w:b/>
          <w:bCs/>
          <w:i/>
          <w:sz w:val="18"/>
          <w:szCs w:val="18"/>
        </w:rPr>
        <w:t>]</w:t>
      </w:r>
      <w:r>
        <w:rPr>
          <w:rFonts w:ascii="Titillium" w:hAnsi="Titillium" w:cs="Calibri"/>
          <w:iCs/>
          <w:sz w:val="18"/>
          <w:szCs w:val="18"/>
        </w:rPr>
        <w:t xml:space="preserve"> </w:t>
      </w:r>
      <w:r w:rsidR="00D4357C">
        <w:rPr>
          <w:rFonts w:ascii="Titillium" w:hAnsi="Titillium" w:cs="Calibri"/>
          <w:iCs/>
          <w:sz w:val="18"/>
          <w:szCs w:val="18"/>
        </w:rPr>
        <w:t>E</w:t>
      </w:r>
      <w:r w:rsidR="00C57FE1">
        <w:rPr>
          <w:rFonts w:ascii="Titillium" w:hAnsi="Titillium" w:cs="Calibri"/>
          <w:iCs/>
          <w:sz w:val="18"/>
          <w:szCs w:val="18"/>
        </w:rPr>
        <w:t xml:space="preserve">ntro … </w:t>
      </w:r>
      <w:r w:rsidR="00C57FE1" w:rsidRPr="00C57FE1">
        <w:rPr>
          <w:rFonts w:ascii="Titillium" w:hAnsi="Titillium" w:cs="Calibri"/>
          <w:i/>
          <w:iCs/>
          <w:sz w:val="18"/>
          <w:szCs w:val="18"/>
        </w:rPr>
        <w:t>[indicare il termine, che comunque non può superare il triennio successivo alla stipula del contratto originale]</w:t>
      </w:r>
      <w:r w:rsidR="00C57FE1">
        <w:rPr>
          <w:rFonts w:ascii="Titillium" w:hAnsi="Titillium" w:cs="Calibri"/>
          <w:iCs/>
          <w:sz w:val="18"/>
          <w:szCs w:val="18"/>
        </w:rPr>
        <w:t xml:space="preserve"> </w:t>
      </w:r>
      <w:r w:rsidR="00D4357C">
        <w:rPr>
          <w:rFonts w:ascii="Titillium" w:hAnsi="Titillium" w:cs="Calibri"/>
          <w:iCs/>
          <w:sz w:val="18"/>
          <w:szCs w:val="18"/>
        </w:rPr>
        <w:t>possono essere</w:t>
      </w:r>
      <w:r>
        <w:rPr>
          <w:rFonts w:ascii="Titillium" w:hAnsi="Titillium" w:cs="Calibri"/>
          <w:iCs/>
          <w:sz w:val="18"/>
          <w:szCs w:val="18"/>
        </w:rPr>
        <w:t xml:space="preserve"> affida</w:t>
      </w:r>
      <w:r w:rsidR="00D4357C">
        <w:rPr>
          <w:rFonts w:ascii="Titillium" w:hAnsi="Titillium" w:cs="Calibri"/>
          <w:iCs/>
          <w:sz w:val="18"/>
          <w:szCs w:val="18"/>
        </w:rPr>
        <w:t>ti</w:t>
      </w:r>
      <w:r>
        <w:rPr>
          <w:rFonts w:ascii="Titillium" w:hAnsi="Titillium" w:cs="Calibri"/>
          <w:iCs/>
          <w:sz w:val="18"/>
          <w:szCs w:val="18"/>
        </w:rPr>
        <w:t xml:space="preserve"> all’aggiudicatario nuovi servizi consistenti nella ripetizione d</w:t>
      </w:r>
      <w:r w:rsidR="00C57FE1">
        <w:rPr>
          <w:rFonts w:ascii="Titillium" w:hAnsi="Titillium" w:cs="Calibri"/>
          <w:iCs/>
          <w:sz w:val="18"/>
          <w:szCs w:val="18"/>
        </w:rPr>
        <w:t>e</w:t>
      </w:r>
      <w:r>
        <w:rPr>
          <w:rFonts w:ascii="Titillium" w:hAnsi="Titillium" w:cs="Calibri"/>
          <w:iCs/>
          <w:sz w:val="18"/>
          <w:szCs w:val="18"/>
        </w:rPr>
        <w:t xml:space="preserve">i </w:t>
      </w:r>
      <w:r w:rsidR="00C57FE1">
        <w:rPr>
          <w:rFonts w:ascii="Titillium" w:hAnsi="Titillium" w:cs="Calibri"/>
          <w:iCs/>
          <w:sz w:val="18"/>
          <w:szCs w:val="18"/>
        </w:rPr>
        <w:t xml:space="preserve">seguenti </w:t>
      </w:r>
      <w:r>
        <w:rPr>
          <w:rFonts w:ascii="Titillium" w:hAnsi="Titillium" w:cs="Calibri"/>
          <w:iCs/>
          <w:sz w:val="18"/>
          <w:szCs w:val="18"/>
        </w:rPr>
        <w:t>servizi</w:t>
      </w:r>
      <w:r w:rsidR="00C57FE1">
        <w:rPr>
          <w:rFonts w:ascii="Titillium" w:hAnsi="Titillium" w:cs="Calibri"/>
          <w:iCs/>
          <w:sz w:val="18"/>
          <w:szCs w:val="18"/>
        </w:rPr>
        <w:t xml:space="preserve">: </w:t>
      </w:r>
      <w:r>
        <w:rPr>
          <w:rFonts w:ascii="Titillium" w:hAnsi="Titillium" w:cs="Calibri"/>
          <w:iCs/>
          <w:sz w:val="18"/>
          <w:szCs w:val="18"/>
        </w:rPr>
        <w:t xml:space="preserve">… </w:t>
      </w:r>
      <w:r w:rsidRPr="00484FCC">
        <w:rPr>
          <w:rFonts w:ascii="Titillium" w:hAnsi="Titillium" w:cs="Calibri"/>
          <w:i/>
          <w:iCs/>
          <w:sz w:val="18"/>
          <w:szCs w:val="18"/>
        </w:rPr>
        <w:t>[precisare le prestazioni oggetto dell’eventuale affidamento</w:t>
      </w:r>
      <w:r w:rsidR="00C57FE1">
        <w:rPr>
          <w:rFonts w:ascii="Titillium" w:hAnsi="Titillium" w:cs="Calibri"/>
          <w:i/>
          <w:iCs/>
          <w:sz w:val="18"/>
          <w:szCs w:val="18"/>
        </w:rPr>
        <w:t xml:space="preserve"> e la relativa durata</w:t>
      </w:r>
      <w:r w:rsidRPr="00484FCC">
        <w:rPr>
          <w:rFonts w:ascii="Titillium" w:hAnsi="Titillium" w:cs="Calibri"/>
          <w:i/>
          <w:iCs/>
          <w:sz w:val="18"/>
          <w:szCs w:val="18"/>
        </w:rPr>
        <w:t>]</w:t>
      </w:r>
      <w:r>
        <w:rPr>
          <w:rFonts w:ascii="Titillium" w:hAnsi="Titillium" w:cs="Calibri"/>
          <w:iCs/>
          <w:sz w:val="18"/>
          <w:szCs w:val="18"/>
        </w:rPr>
        <w:t xml:space="preserve">, per un importo stimato complessivamente non superiore ad € … </w:t>
      </w:r>
      <w:r>
        <w:rPr>
          <w:rFonts w:ascii="Titillium" w:hAnsi="Titillium"/>
          <w:sz w:val="18"/>
          <w:szCs w:val="18"/>
        </w:rPr>
        <w:t xml:space="preserve"> </w:t>
      </w:r>
      <w:r w:rsidRPr="00484FCC">
        <w:rPr>
          <w:rFonts w:ascii="Titillium" w:hAnsi="Titillium" w:cs="Calibri"/>
          <w:i/>
          <w:iCs/>
          <w:sz w:val="18"/>
          <w:szCs w:val="18"/>
        </w:rPr>
        <w:t>[indicare l’importo</w:t>
      </w:r>
      <w:r>
        <w:rPr>
          <w:rFonts w:ascii="Titillium" w:hAnsi="Titillium" w:cs="Calibri"/>
          <w:iCs/>
          <w:sz w:val="18"/>
          <w:szCs w:val="18"/>
        </w:rPr>
        <w:t xml:space="preserve">], </w:t>
      </w:r>
      <w:r>
        <w:rPr>
          <w:rFonts w:ascii="Titillium" w:hAnsi="Titillium" w:cs="Calibri"/>
          <w:sz w:val="18"/>
          <w:szCs w:val="18"/>
        </w:rPr>
        <w:t>al netto di Iva e/o di altre imposte e contributi di legge, nonché degli oneri per la sicurezza dovuti a rischi da interferenze.</w:t>
      </w:r>
      <w:r>
        <w:rPr>
          <w:rFonts w:ascii="Titillium" w:hAnsi="Titillium" w:cs="Calibri"/>
          <w:iCs/>
          <w:sz w:val="18"/>
          <w:szCs w:val="18"/>
        </w:rPr>
        <w:t xml:space="preserve"> </w:t>
      </w:r>
      <w:r w:rsidR="00484FCC">
        <w:rPr>
          <w:rFonts w:ascii="Titillium" w:hAnsi="Titillium" w:cs="Calibri"/>
          <w:iCs/>
          <w:sz w:val="18"/>
          <w:szCs w:val="18"/>
        </w:rPr>
        <w:t xml:space="preserve"> </w:t>
      </w:r>
    </w:p>
    <w:p w14:paraId="77B859EF" w14:textId="306C117D" w:rsidR="004C53A8" w:rsidRDefault="00870286">
      <w:pPr>
        <w:spacing w:before="60" w:after="60"/>
      </w:pPr>
      <w:r>
        <w:rPr>
          <w:rFonts w:ascii="Titillium" w:hAnsi="Titillium" w:cs="Calibri"/>
          <w:b/>
          <w:bCs/>
          <w:i/>
          <w:iCs/>
          <w:sz w:val="18"/>
          <w:szCs w:val="18"/>
        </w:rPr>
        <w:t>[</w:t>
      </w:r>
      <w:r>
        <w:rPr>
          <w:rFonts w:ascii="Titillium" w:hAnsi="Titillium"/>
          <w:b/>
          <w:bCs/>
          <w:i/>
          <w:sz w:val="18"/>
          <w:szCs w:val="18"/>
        </w:rPr>
        <w:t>Facoltativo. M</w:t>
      </w:r>
      <w:r>
        <w:rPr>
          <w:rFonts w:ascii="Titillium" w:hAnsi="Titillium" w:cs="Calibri"/>
          <w:b/>
          <w:bCs/>
          <w:i/>
          <w:iCs/>
          <w:sz w:val="18"/>
          <w:szCs w:val="18"/>
        </w:rPr>
        <w:t>odifiche del contratto ai sensi dell’articolo 106, comma 1 lettera a) del Codice]</w:t>
      </w:r>
      <w:r>
        <w:rPr>
          <w:rFonts w:ascii="Titillium" w:hAnsi="Titillium" w:cs="Calibri"/>
          <w:i/>
          <w:iCs/>
          <w:sz w:val="18"/>
          <w:szCs w:val="24"/>
        </w:rPr>
        <w:t xml:space="preserve"> </w:t>
      </w:r>
      <w:r>
        <w:rPr>
          <w:rFonts w:ascii="Titillium" w:hAnsi="Titillium" w:cs="Calibri"/>
          <w:iCs/>
          <w:sz w:val="18"/>
          <w:szCs w:val="18"/>
        </w:rPr>
        <w:t>Il contratto p</w:t>
      </w:r>
      <w:r w:rsidR="005F1376">
        <w:rPr>
          <w:rFonts w:ascii="Titillium" w:hAnsi="Titillium" w:cs="Calibri"/>
          <w:iCs/>
          <w:sz w:val="18"/>
          <w:szCs w:val="18"/>
        </w:rPr>
        <w:t>uò</w:t>
      </w:r>
      <w:r>
        <w:rPr>
          <w:rFonts w:ascii="Titillium" w:hAnsi="Titillium" w:cs="Calibri"/>
          <w:iCs/>
          <w:sz w:val="18"/>
          <w:szCs w:val="18"/>
        </w:rPr>
        <w:t xml:space="preserve"> essere modificato, senza una nuova procedura di affidamento, ai sensi dell’articolo 106, comma 1, lettera a) del Codice, nei seguenti casi: … [</w:t>
      </w:r>
      <w:r>
        <w:rPr>
          <w:rFonts w:ascii="Titillium" w:hAnsi="Titillium" w:cs="Calibri"/>
          <w:i/>
          <w:iCs/>
          <w:sz w:val="18"/>
          <w:szCs w:val="18"/>
        </w:rPr>
        <w:t xml:space="preserve">indicare in modo chiaro, preciso ed inequivocabile, la portata e la natura delle modifiche contrattuali, nonché le condizioni </w:t>
      </w:r>
      <w:r>
        <w:rPr>
          <w:rFonts w:ascii="Titillium" w:hAnsi="Titillium" w:cs="Calibri"/>
          <w:i/>
          <w:iCs/>
          <w:sz w:val="18"/>
          <w:szCs w:val="18"/>
        </w:rPr>
        <w:lastRenderedPageBreak/>
        <w:t>alle quali esse possono essere impiegate. Le clausole di revisione dei prezzi tengono conto dei prezzi di riferimento, ove definiti, ovvero fissano il parametro da utilizzare per l’aggiornamento del prezzo. Le modifiche non possono alterare la natura generale del contratto</w:t>
      </w:r>
      <w:r>
        <w:rPr>
          <w:rFonts w:ascii="Titillium" w:hAnsi="Titillium" w:cs="Calibri"/>
          <w:iCs/>
          <w:sz w:val="18"/>
          <w:szCs w:val="18"/>
        </w:rPr>
        <w:t xml:space="preserve">]. </w:t>
      </w:r>
    </w:p>
    <w:p w14:paraId="0FD2F8B7" w14:textId="0795F7FF" w:rsidR="004C53A8" w:rsidRDefault="00FF0BFA">
      <w:pPr>
        <w:pStyle w:val="Standard"/>
        <w:spacing w:after="0" w:line="240" w:lineRule="auto"/>
        <w:jc w:val="both"/>
      </w:pPr>
      <w:r>
        <w:rPr>
          <w:rFonts w:ascii="Titillium" w:eastAsia="Times New Roman" w:hAnsi="Titillium"/>
          <w:b/>
          <w:bCs/>
          <w:i/>
          <w:iCs/>
          <w:sz w:val="18"/>
          <w:szCs w:val="18"/>
        </w:rPr>
        <w:t>[</w:t>
      </w:r>
      <w:r w:rsidR="00870286">
        <w:rPr>
          <w:rFonts w:ascii="Titillium" w:eastAsia="Times New Roman" w:hAnsi="Titillium"/>
          <w:b/>
          <w:bCs/>
          <w:i/>
          <w:iCs/>
          <w:sz w:val="18"/>
          <w:szCs w:val="18"/>
        </w:rPr>
        <w:t>Facoltativo. Modifiche del contratto ai se</w:t>
      </w:r>
      <w:r w:rsidR="00187BF3">
        <w:rPr>
          <w:rFonts w:ascii="Titillium" w:eastAsia="Times New Roman" w:hAnsi="Titillium"/>
          <w:b/>
          <w:bCs/>
          <w:i/>
          <w:iCs/>
          <w:sz w:val="18"/>
          <w:szCs w:val="18"/>
        </w:rPr>
        <w:t>nsi dell’</w:t>
      </w:r>
      <w:r w:rsidR="00291685">
        <w:rPr>
          <w:rFonts w:ascii="Titillium" w:eastAsia="Times New Roman" w:hAnsi="Titillium"/>
          <w:b/>
          <w:bCs/>
          <w:i/>
          <w:iCs/>
          <w:sz w:val="18"/>
          <w:szCs w:val="18"/>
        </w:rPr>
        <w:t>articolo</w:t>
      </w:r>
      <w:r w:rsidR="00187BF3">
        <w:rPr>
          <w:rFonts w:ascii="Titillium" w:eastAsia="Times New Roman" w:hAnsi="Titillium"/>
          <w:b/>
          <w:bCs/>
          <w:i/>
          <w:iCs/>
          <w:sz w:val="18"/>
          <w:szCs w:val="18"/>
        </w:rPr>
        <w:t xml:space="preserve"> 106 comma 1, lettera </w:t>
      </w:r>
      <w:r w:rsidR="00870286">
        <w:rPr>
          <w:rFonts w:ascii="Titillium" w:eastAsia="Times New Roman" w:hAnsi="Titillium"/>
          <w:b/>
          <w:bCs/>
          <w:i/>
          <w:iCs/>
          <w:sz w:val="18"/>
          <w:szCs w:val="18"/>
        </w:rPr>
        <w:t>e), del Codice]</w:t>
      </w:r>
      <w:r w:rsidR="00870286">
        <w:rPr>
          <w:rFonts w:ascii="Times New Roman" w:hAnsi="Times New Roman"/>
          <w:i/>
          <w:iCs/>
          <w:szCs w:val="24"/>
          <w:lang w:eastAsia="it-IT"/>
        </w:rPr>
        <w:t xml:space="preserve"> </w:t>
      </w:r>
      <w:r w:rsidR="00870286">
        <w:rPr>
          <w:rFonts w:ascii="Titillium" w:eastAsia="Times New Roman" w:hAnsi="Titillium" w:cs="Calibri"/>
          <w:iCs/>
          <w:sz w:val="18"/>
          <w:szCs w:val="18"/>
        </w:rPr>
        <w:t xml:space="preserve">Il contratto può essere modificato, senza una nuova procedura di affidamento, ai sensi dell’articolo 106, comma 1, lettera e) del Codice, nei limiti dei seguenti importi: …. </w:t>
      </w:r>
      <w:r w:rsidR="00870286" w:rsidRPr="00BF470E">
        <w:rPr>
          <w:rFonts w:ascii="Titillium" w:eastAsia="Times New Roman" w:hAnsi="Titillium" w:cs="Calibri"/>
          <w:i/>
          <w:iCs/>
          <w:sz w:val="18"/>
          <w:szCs w:val="18"/>
        </w:rPr>
        <w:t>[indicare le soglie di importi che consentono l’esecuzione di tali modifiche]</w:t>
      </w:r>
      <w:r w:rsidR="00870286">
        <w:rPr>
          <w:rFonts w:ascii="Titillium" w:eastAsia="Times New Roman" w:hAnsi="Titillium" w:cs="Calibri"/>
          <w:iCs/>
          <w:sz w:val="18"/>
          <w:szCs w:val="18"/>
        </w:rPr>
        <w:t>,</w:t>
      </w:r>
      <w:r w:rsidR="005F1376">
        <w:rPr>
          <w:rFonts w:ascii="Titillium" w:eastAsia="Times New Roman" w:hAnsi="Titillium" w:cs="Calibri"/>
          <w:iCs/>
          <w:sz w:val="18"/>
          <w:szCs w:val="18"/>
        </w:rPr>
        <w:t xml:space="preserve"> </w:t>
      </w:r>
      <w:r w:rsidR="00870286">
        <w:rPr>
          <w:rFonts w:ascii="Titillium" w:eastAsia="Times New Roman" w:hAnsi="Titillium" w:cs="Calibri"/>
          <w:iCs/>
          <w:sz w:val="18"/>
          <w:szCs w:val="18"/>
        </w:rPr>
        <w:t>in caso di modifiche non sostanziali.</w:t>
      </w:r>
    </w:p>
    <w:p w14:paraId="51EBA151" w14:textId="02BD421F" w:rsidR="004C53A8" w:rsidRDefault="00870286">
      <w:pPr>
        <w:spacing w:before="60" w:after="60"/>
      </w:pPr>
      <w:r>
        <w:rPr>
          <w:rFonts w:ascii="Titillium" w:hAnsi="Titillium"/>
          <w:b/>
          <w:bCs/>
          <w:i/>
          <w:sz w:val="18"/>
          <w:szCs w:val="18"/>
        </w:rPr>
        <w:t>[</w:t>
      </w:r>
      <w:r>
        <w:rPr>
          <w:rFonts w:ascii="Titillium" w:hAnsi="Titillium"/>
          <w:b/>
          <w:i/>
          <w:sz w:val="18"/>
          <w:szCs w:val="18"/>
        </w:rPr>
        <w:t>Facol</w:t>
      </w:r>
      <w:r>
        <w:rPr>
          <w:rFonts w:ascii="Titillium" w:hAnsi="Titillium"/>
          <w:b/>
          <w:bCs/>
          <w:i/>
          <w:sz w:val="18"/>
          <w:szCs w:val="18"/>
        </w:rPr>
        <w:t>tativo. Opzione di proroga tecnica</w:t>
      </w:r>
      <w:r w:rsidR="00EE1906">
        <w:rPr>
          <w:rFonts w:ascii="Titillium" w:hAnsi="Titillium"/>
          <w:sz w:val="18"/>
          <w:szCs w:val="18"/>
        </w:rPr>
        <w:t xml:space="preserve"> </w:t>
      </w:r>
      <w:r w:rsidR="00A926EC" w:rsidRPr="00EE1906">
        <w:rPr>
          <w:rFonts w:ascii="Titillium" w:hAnsi="Titillium"/>
          <w:b/>
          <w:sz w:val="18"/>
          <w:szCs w:val="18"/>
        </w:rPr>
        <w:t>di cui all’</w:t>
      </w:r>
      <w:r w:rsidR="00895365">
        <w:rPr>
          <w:rFonts w:ascii="Titillium" w:hAnsi="Titillium"/>
          <w:b/>
          <w:sz w:val="18"/>
          <w:szCs w:val="18"/>
        </w:rPr>
        <w:t xml:space="preserve">articolo </w:t>
      </w:r>
      <w:r w:rsidR="00A926EC" w:rsidRPr="00EE1906">
        <w:rPr>
          <w:rFonts w:ascii="Titillium" w:hAnsi="Titillium"/>
          <w:b/>
          <w:sz w:val="18"/>
          <w:szCs w:val="18"/>
        </w:rPr>
        <w:t>106, comma 11</w:t>
      </w:r>
      <w:r w:rsidR="00EE1906">
        <w:rPr>
          <w:rFonts w:ascii="Titillium" w:hAnsi="Titillium"/>
          <w:b/>
          <w:sz w:val="18"/>
          <w:szCs w:val="18"/>
        </w:rPr>
        <w:t>,</w:t>
      </w:r>
      <w:r w:rsidR="00A926EC" w:rsidRPr="00EE1906">
        <w:rPr>
          <w:rFonts w:ascii="Titillium" w:hAnsi="Titillium"/>
          <w:b/>
          <w:sz w:val="18"/>
          <w:szCs w:val="18"/>
        </w:rPr>
        <w:t xml:space="preserve"> del Codice</w:t>
      </w:r>
      <w:r>
        <w:rPr>
          <w:rFonts w:ascii="Titillium" w:hAnsi="Titillium"/>
          <w:b/>
          <w:bCs/>
          <w:i/>
          <w:sz w:val="18"/>
          <w:szCs w:val="18"/>
        </w:rPr>
        <w:t>]</w:t>
      </w:r>
      <w:r>
        <w:rPr>
          <w:rFonts w:ascii="Titillium" w:hAnsi="Titillium"/>
          <w:b/>
          <w:bCs/>
          <w:sz w:val="18"/>
          <w:szCs w:val="18"/>
        </w:rPr>
        <w:t xml:space="preserve"> </w:t>
      </w:r>
      <w:r>
        <w:rPr>
          <w:rFonts w:ascii="Titillium" w:hAnsi="Titillium"/>
          <w:sz w:val="18"/>
          <w:szCs w:val="18"/>
        </w:rPr>
        <w:t>La durata del contratto in corso di esecuzione p</w:t>
      </w:r>
      <w:r w:rsidR="005F1376">
        <w:rPr>
          <w:rFonts w:ascii="Titillium" w:hAnsi="Titillium"/>
          <w:sz w:val="18"/>
          <w:szCs w:val="18"/>
        </w:rPr>
        <w:t xml:space="preserve">uò </w:t>
      </w:r>
      <w:r>
        <w:rPr>
          <w:rFonts w:ascii="Titillium" w:hAnsi="Titillium"/>
          <w:sz w:val="18"/>
          <w:szCs w:val="18"/>
        </w:rPr>
        <w:t>essere modificata per il tempo strettamente necessario alla conclusione delle procedure necessarie per l’individuazione del nuovo contraente, avviate prima della scadenza del contratto. In tal caso il contraente è tenuto all’esecuzione delle prestazioni oggetto del contratto agli stessi prezzi, patti e condizioni o più favorevoli per la stazione appaltante.</w:t>
      </w:r>
    </w:p>
    <w:p w14:paraId="3F416C42" w14:textId="190EBEB9" w:rsidR="004C53A8" w:rsidRPr="00BF470E" w:rsidRDefault="00870286">
      <w:pPr>
        <w:spacing w:before="60" w:after="60"/>
        <w:rPr>
          <w:i/>
        </w:rPr>
      </w:pPr>
      <w:r>
        <w:rPr>
          <w:rFonts w:ascii="Titillium" w:hAnsi="Titillium"/>
          <w:b/>
          <w:bCs/>
          <w:i/>
          <w:sz w:val="18"/>
          <w:szCs w:val="18"/>
        </w:rPr>
        <w:t>[In caso di inserimento di una o più delle suddette clausole facoltative. Valore complessivo ai fini dell’articolo 35, comma 4 del Codice]</w:t>
      </w:r>
      <w:r>
        <w:rPr>
          <w:rFonts w:ascii="Titillium" w:hAnsi="Titillium"/>
          <w:b/>
          <w:bCs/>
          <w:sz w:val="18"/>
          <w:szCs w:val="18"/>
        </w:rPr>
        <w:t xml:space="preserve"> </w:t>
      </w:r>
      <w:r>
        <w:rPr>
          <w:rFonts w:ascii="Titillium" w:hAnsi="Titillium"/>
          <w:sz w:val="18"/>
          <w:szCs w:val="18"/>
        </w:rPr>
        <w:t xml:space="preserve">Il valore </w:t>
      </w:r>
      <w:r w:rsidR="00484FCC">
        <w:rPr>
          <w:rFonts w:ascii="Titillium" w:hAnsi="Titillium"/>
          <w:sz w:val="18"/>
          <w:szCs w:val="18"/>
        </w:rPr>
        <w:t>globale</w:t>
      </w:r>
      <w:r>
        <w:rPr>
          <w:rFonts w:ascii="Titillium" w:hAnsi="Titillium"/>
          <w:sz w:val="18"/>
          <w:szCs w:val="18"/>
        </w:rPr>
        <w:t xml:space="preserve"> stimato dell’appalto, è pari ad € </w:t>
      </w:r>
      <w:r w:rsidRPr="00BF470E">
        <w:rPr>
          <w:rFonts w:ascii="Titillium" w:hAnsi="Titillium"/>
          <w:i/>
          <w:sz w:val="18"/>
          <w:szCs w:val="18"/>
        </w:rPr>
        <w:t xml:space="preserve">... </w:t>
      </w:r>
      <w:r w:rsidRPr="00BF470E">
        <w:rPr>
          <w:rFonts w:ascii="Titillium" w:hAnsi="Titillium" w:cs="Calibri"/>
          <w:i/>
          <w:sz w:val="18"/>
          <w:szCs w:val="18"/>
        </w:rPr>
        <w:t>[indicare il valore, in caso di più lotti indicare la somma di tutti i lotti],</w:t>
      </w:r>
      <w:r>
        <w:rPr>
          <w:rFonts w:ascii="Titillium" w:hAnsi="Titillium" w:cs="Calibri"/>
          <w:sz w:val="18"/>
          <w:szCs w:val="18"/>
        </w:rPr>
        <w:t xml:space="preserve"> al netto di Iva e/o di altre imposte e contributi di legge, </w:t>
      </w:r>
      <w:r w:rsidRPr="00BF470E">
        <w:rPr>
          <w:rFonts w:ascii="Titillium" w:hAnsi="Titillium" w:cs="Calibri"/>
          <w:i/>
          <w:sz w:val="18"/>
          <w:szCs w:val="18"/>
        </w:rPr>
        <w:t>[così suddiviso. In caso di più lotti riportare una tabella per ciascun lotto]:</w:t>
      </w:r>
    </w:p>
    <w:p w14:paraId="4BE2F2D9" w14:textId="39CD6B61"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6F0CBC">
        <w:rPr>
          <w:rFonts w:ascii="Titillium" w:hAnsi="Titillium"/>
          <w:noProof/>
          <w:sz w:val="18"/>
        </w:rPr>
        <w:t>3</w:t>
      </w:r>
      <w:r>
        <w:rPr>
          <w:rFonts w:ascii="Titillium" w:hAnsi="Titillium"/>
          <w:sz w:val="18"/>
        </w:rPr>
        <w:fldChar w:fldCharType="end"/>
      </w:r>
    </w:p>
    <w:tbl>
      <w:tblPr>
        <w:tblW w:w="9355" w:type="dxa"/>
        <w:tblInd w:w="-5" w:type="dxa"/>
        <w:tblLook w:val="04A0" w:firstRow="1" w:lastRow="0" w:firstColumn="1" w:lastColumn="0" w:noHBand="0" w:noVBand="1"/>
      </w:tblPr>
      <w:tblGrid>
        <w:gridCol w:w="1871"/>
        <w:gridCol w:w="1871"/>
        <w:gridCol w:w="1871"/>
        <w:gridCol w:w="1871"/>
        <w:gridCol w:w="1871"/>
      </w:tblGrid>
      <w:tr w:rsidR="00DA0862" w14:paraId="3B7458B4" w14:textId="77777777" w:rsidTr="006D642B">
        <w:trPr>
          <w:trHeight w:val="628"/>
        </w:trPr>
        <w:tc>
          <w:tcPr>
            <w:tcW w:w="1871" w:type="dxa"/>
            <w:tcBorders>
              <w:top w:val="single" w:sz="4" w:space="0" w:color="000000"/>
              <w:left w:val="single" w:sz="4" w:space="0" w:color="000000"/>
              <w:bottom w:val="single" w:sz="4" w:space="0" w:color="000000"/>
              <w:right w:val="single" w:sz="4" w:space="0" w:color="000000"/>
            </w:tcBorders>
            <w:vAlign w:val="center"/>
          </w:tcPr>
          <w:p w14:paraId="020538E8" w14:textId="77777777" w:rsidR="00DA0862" w:rsidRDefault="00DA0862" w:rsidP="00484FCC">
            <w:pPr>
              <w:jc w:val="center"/>
              <w:rPr>
                <w:rFonts w:ascii="Titillium" w:hAnsi="Titillium" w:cs="Calibri"/>
                <w:sz w:val="18"/>
                <w:szCs w:val="18"/>
                <w:lang w:eastAsia="it-IT"/>
              </w:rPr>
            </w:pPr>
            <w:r>
              <w:rPr>
                <w:rFonts w:ascii="Titillium" w:hAnsi="Titillium" w:cs="Calibri"/>
                <w:sz w:val="18"/>
                <w:szCs w:val="18"/>
                <w:lang w:eastAsia="it-IT"/>
              </w:rPr>
              <w:t>Importo complessivo a base di gara</w:t>
            </w:r>
          </w:p>
          <w:p w14:paraId="5C8B44A0" w14:textId="07242F4F" w:rsidR="00DA0862" w:rsidRDefault="00DA0862" w:rsidP="00484FCC">
            <w:pPr>
              <w:jc w:val="center"/>
              <w:rPr>
                <w:rFonts w:ascii="Titillium" w:hAnsi="Titillium" w:cs="Calibri"/>
                <w:sz w:val="18"/>
                <w:szCs w:val="18"/>
                <w:lang w:eastAsia="it-IT"/>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5D48723" w14:textId="5D1C1C57" w:rsidR="00DA0862" w:rsidRDefault="00DA0862">
            <w:pPr>
              <w:jc w:val="center"/>
              <w:rPr>
                <w:rFonts w:ascii="Titillium" w:hAnsi="Titillium"/>
                <w:i/>
                <w:sz w:val="18"/>
                <w:szCs w:val="18"/>
              </w:rPr>
            </w:pPr>
            <w:r>
              <w:rPr>
                <w:rFonts w:ascii="Titillium" w:hAnsi="Titillium"/>
                <w:i/>
                <w:sz w:val="18"/>
                <w:szCs w:val="18"/>
              </w:rPr>
              <w:t>[Importo per rinnovo]</w:t>
            </w:r>
          </w:p>
        </w:tc>
        <w:tc>
          <w:tcPr>
            <w:tcW w:w="1871" w:type="dxa"/>
            <w:tcBorders>
              <w:top w:val="single" w:sz="4" w:space="0" w:color="000000"/>
              <w:left w:val="single" w:sz="4" w:space="0" w:color="000000"/>
              <w:bottom w:val="single" w:sz="4" w:space="0" w:color="000000"/>
              <w:right w:val="single" w:sz="4" w:space="0" w:color="000000"/>
            </w:tcBorders>
            <w:vAlign w:val="center"/>
          </w:tcPr>
          <w:p w14:paraId="255141D4" w14:textId="67610910" w:rsidR="00DA0862" w:rsidRDefault="00DA0862">
            <w:pPr>
              <w:jc w:val="center"/>
              <w:rPr>
                <w:rFonts w:ascii="Titillium" w:hAnsi="Titillium"/>
                <w:i/>
                <w:sz w:val="18"/>
                <w:szCs w:val="18"/>
              </w:rPr>
            </w:pPr>
            <w:r>
              <w:rPr>
                <w:rFonts w:ascii="Titillium" w:hAnsi="Titillium"/>
                <w:i/>
                <w:sz w:val="18"/>
                <w:szCs w:val="18"/>
              </w:rPr>
              <w:t>[Importo per servizi analoghi]</w:t>
            </w:r>
          </w:p>
        </w:tc>
        <w:tc>
          <w:tcPr>
            <w:tcW w:w="1871" w:type="dxa"/>
            <w:tcBorders>
              <w:top w:val="single" w:sz="4" w:space="0" w:color="000000"/>
              <w:left w:val="single" w:sz="4" w:space="0" w:color="000000"/>
              <w:bottom w:val="single" w:sz="4" w:space="0" w:color="000000"/>
              <w:right w:val="single" w:sz="4" w:space="0" w:color="000000"/>
            </w:tcBorders>
            <w:vAlign w:val="center"/>
          </w:tcPr>
          <w:p w14:paraId="5DDA6931" w14:textId="77777777" w:rsidR="00DA0862" w:rsidRDefault="00DA0862">
            <w:pPr>
              <w:pStyle w:val="Default"/>
              <w:keepNext/>
              <w:widowControl/>
              <w:jc w:val="center"/>
              <w:rPr>
                <w:rFonts w:ascii="Titillium" w:hAnsi="Titillium"/>
                <w:i/>
                <w:color w:val="auto"/>
                <w:sz w:val="18"/>
                <w:szCs w:val="18"/>
              </w:rPr>
            </w:pPr>
            <w:r>
              <w:rPr>
                <w:rFonts w:ascii="Titillium" w:hAnsi="Titillium"/>
                <w:i/>
                <w:color w:val="auto"/>
                <w:sz w:val="18"/>
                <w:szCs w:val="18"/>
              </w:rPr>
              <w:t>[…]</w:t>
            </w:r>
          </w:p>
        </w:tc>
        <w:tc>
          <w:tcPr>
            <w:tcW w:w="1871" w:type="dxa"/>
            <w:tcBorders>
              <w:top w:val="single" w:sz="4" w:space="0" w:color="000000"/>
              <w:left w:val="single" w:sz="4" w:space="0" w:color="000000"/>
              <w:bottom w:val="single" w:sz="4" w:space="0" w:color="000000"/>
              <w:right w:val="single" w:sz="4" w:space="0" w:color="000000"/>
            </w:tcBorders>
            <w:vAlign w:val="center"/>
          </w:tcPr>
          <w:p w14:paraId="1F026F4B" w14:textId="1237A5A5" w:rsidR="00DA0862" w:rsidRDefault="00DA0862" w:rsidP="0063668E">
            <w:pPr>
              <w:jc w:val="center"/>
              <w:rPr>
                <w:rFonts w:ascii="Titillium" w:hAnsi="Titillium"/>
                <w:sz w:val="18"/>
                <w:szCs w:val="18"/>
              </w:rPr>
            </w:pPr>
            <w:r>
              <w:rPr>
                <w:rFonts w:ascii="Titillium" w:hAnsi="Titillium"/>
                <w:sz w:val="18"/>
                <w:szCs w:val="18"/>
              </w:rPr>
              <w:t xml:space="preserve">Valore globale a base di gara  </w:t>
            </w:r>
          </w:p>
        </w:tc>
      </w:tr>
      <w:tr w:rsidR="00E6392E" w14:paraId="512288E9" w14:textId="77777777" w:rsidTr="006D642B">
        <w:tc>
          <w:tcPr>
            <w:tcW w:w="1871" w:type="dxa"/>
            <w:tcBorders>
              <w:top w:val="single" w:sz="4" w:space="0" w:color="000000"/>
              <w:left w:val="single" w:sz="4" w:space="0" w:color="000000"/>
              <w:bottom w:val="single" w:sz="4" w:space="0" w:color="000000"/>
              <w:right w:val="single" w:sz="4" w:space="0" w:color="000000"/>
            </w:tcBorders>
            <w:vAlign w:val="center"/>
          </w:tcPr>
          <w:p w14:paraId="32287513" w14:textId="77777777" w:rsidR="00E6392E" w:rsidRDefault="00E6392E" w:rsidP="00484FCC">
            <w:pPr>
              <w:jc w:val="center"/>
              <w:rPr>
                <w:rFonts w:ascii="Titillium" w:hAnsi="Titillium" w:cs="Calibri"/>
                <w:sz w:val="18"/>
                <w:szCs w:val="18"/>
                <w:lang w:eastAsia="it-IT"/>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520328B" w14:textId="77777777" w:rsidR="00E6392E" w:rsidRDefault="00E6392E">
            <w:pPr>
              <w:jc w:val="center"/>
              <w:rPr>
                <w:rFonts w:ascii="Titillium" w:hAnsi="Titillium"/>
                <w:i/>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4F3FD3C4" w14:textId="77777777" w:rsidR="00E6392E" w:rsidRDefault="00E6392E">
            <w:pPr>
              <w:jc w:val="center"/>
              <w:rPr>
                <w:rFonts w:ascii="Titillium" w:hAnsi="Titillium"/>
                <w:i/>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EABD4CD" w14:textId="77777777" w:rsidR="00E6392E" w:rsidRDefault="00E6392E">
            <w:pPr>
              <w:pStyle w:val="Default"/>
              <w:keepNext/>
              <w:widowControl/>
              <w:jc w:val="center"/>
              <w:rPr>
                <w:rFonts w:ascii="Titillium" w:hAnsi="Titillium"/>
                <w:i/>
                <w:color w:val="auto"/>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010FAB12" w14:textId="77777777" w:rsidR="00E6392E" w:rsidRDefault="00E6392E" w:rsidP="0063668E">
            <w:pPr>
              <w:jc w:val="center"/>
              <w:rPr>
                <w:rFonts w:ascii="Titillium" w:hAnsi="Titillium"/>
                <w:sz w:val="18"/>
                <w:szCs w:val="18"/>
              </w:rPr>
            </w:pPr>
          </w:p>
        </w:tc>
      </w:tr>
    </w:tbl>
    <w:p w14:paraId="797BBDAA" w14:textId="4707996D" w:rsidR="004C53A8" w:rsidRDefault="004C53A8"/>
    <w:p w14:paraId="64970F92" w14:textId="3C78B56C" w:rsidR="00A33299" w:rsidRPr="00A33299" w:rsidRDefault="00A33299" w:rsidP="00A33299">
      <w:pPr>
        <w:pStyle w:val="Titolo3"/>
        <w:numPr>
          <w:ilvl w:val="1"/>
          <w:numId w:val="4"/>
        </w:numPr>
        <w:ind w:left="426" w:hanging="426"/>
        <w:rPr>
          <w:rFonts w:ascii="Titillium" w:hAnsi="Titillium"/>
          <w:caps w:val="0"/>
          <w:color w:val="FF0000"/>
          <w:sz w:val="18"/>
          <w:szCs w:val="18"/>
          <w:lang w:val="it-IT"/>
        </w:rPr>
      </w:pPr>
      <w:bookmarkStart w:id="276" w:name="_Toc95495884"/>
      <w:r w:rsidRPr="00A33299">
        <w:rPr>
          <w:rFonts w:ascii="Titillium" w:hAnsi="Titillium"/>
          <w:caps w:val="0"/>
          <w:color w:val="FF0000"/>
          <w:sz w:val="18"/>
          <w:szCs w:val="18"/>
          <w:lang w:val="it-IT"/>
        </w:rPr>
        <w:t>REVISIONE DEI PREZZI</w:t>
      </w:r>
      <w:bookmarkEnd w:id="276"/>
    </w:p>
    <w:p w14:paraId="123D470F" w14:textId="070850B4" w:rsidR="00A33299" w:rsidRPr="00A33299" w:rsidRDefault="00A33299" w:rsidP="00A33299">
      <w:pPr>
        <w:pStyle w:val="Paragrafoelenco"/>
        <w:ind w:left="0"/>
        <w:rPr>
          <w:rFonts w:ascii="Titillium" w:eastAsia="Times New Roman" w:hAnsi="Titillium"/>
          <w:b/>
          <w:bCs/>
          <w:i/>
          <w:color w:val="FF0000"/>
          <w:sz w:val="18"/>
          <w:szCs w:val="18"/>
          <w:lang w:eastAsia="en-US"/>
        </w:rPr>
      </w:pPr>
      <w:r w:rsidRPr="00A33299">
        <w:rPr>
          <w:rFonts w:ascii="Titillium" w:eastAsia="Times New Roman" w:hAnsi="Titillium"/>
          <w:b/>
          <w:bCs/>
          <w:i/>
          <w:color w:val="FF0000"/>
          <w:sz w:val="18"/>
          <w:szCs w:val="18"/>
          <w:lang w:eastAsia="en-US"/>
        </w:rPr>
        <w:t>[Obbligatoria fino al 31/12/2023 per i contratti pubblici, i cui bandi o avvisi siano pubblicati successivamente alla data di entrata in vigore del decreto-legge, nonché, in caso di contratti senza pubblicazione di bandi o di  avvisi,  qualora  l'invio  degli inviti a presentare le offerte sia  effettuato  successivamente  alla data di entrata in vigore  del  decreto medesimo.</w:t>
      </w:r>
    </w:p>
    <w:p w14:paraId="53DBB6F5" w14:textId="77777777" w:rsidR="00A33299" w:rsidRPr="00A33299" w:rsidRDefault="00A33299" w:rsidP="00A33299">
      <w:pPr>
        <w:pStyle w:val="Paragrafoelenco"/>
        <w:ind w:left="0"/>
        <w:rPr>
          <w:rFonts w:ascii="Titillium" w:eastAsia="Times New Roman" w:hAnsi="Titillium"/>
          <w:b/>
          <w:bCs/>
          <w:i/>
          <w:color w:val="FF0000"/>
          <w:sz w:val="18"/>
          <w:szCs w:val="18"/>
          <w:lang w:eastAsia="en-US"/>
        </w:rPr>
      </w:pPr>
      <w:r w:rsidRPr="00A33299">
        <w:rPr>
          <w:rFonts w:ascii="Titillium" w:eastAsia="Times New Roman" w:hAnsi="Titillium"/>
          <w:b/>
          <w:bCs/>
          <w:i/>
          <w:color w:val="FF0000"/>
          <w:sz w:val="18"/>
          <w:szCs w:val="18"/>
          <w:lang w:eastAsia="en-US"/>
        </w:rPr>
        <w:t>Facoltativa dopo il 31/12/2023].</w:t>
      </w:r>
    </w:p>
    <w:p w14:paraId="2F06AACC" w14:textId="77777777" w:rsidR="00A33299" w:rsidRPr="00A33299" w:rsidRDefault="00A33299" w:rsidP="00A33299">
      <w:pPr>
        <w:pStyle w:val="Paragrafoelenco"/>
        <w:rPr>
          <w:color w:val="FF0000"/>
        </w:rPr>
      </w:pPr>
    </w:p>
    <w:p w14:paraId="2DD32D20" w14:textId="77777777" w:rsidR="00A33299" w:rsidRPr="00A33299" w:rsidRDefault="00A33299" w:rsidP="00A33299">
      <w:pPr>
        <w:pStyle w:val="Paragrafoelenco"/>
        <w:ind w:left="0"/>
        <w:rPr>
          <w:rFonts w:ascii="Titillium" w:hAnsi="Titillium"/>
          <w:color w:val="FF0000"/>
          <w:sz w:val="18"/>
          <w:szCs w:val="18"/>
        </w:rPr>
      </w:pPr>
      <w:r w:rsidRPr="00A33299">
        <w:rPr>
          <w:rFonts w:ascii="Titillium" w:hAnsi="Titillium"/>
          <w:i/>
          <w:color w:val="FF0000"/>
          <w:sz w:val="18"/>
          <w:szCs w:val="18"/>
        </w:rPr>
        <w:t>[</w:t>
      </w:r>
      <w:r w:rsidRPr="00A33299">
        <w:rPr>
          <w:rFonts w:ascii="Titillium" w:eastAsia="Times New Roman" w:hAnsi="Titillium"/>
          <w:b/>
          <w:bCs/>
          <w:i/>
          <w:color w:val="FF0000"/>
          <w:sz w:val="18"/>
          <w:szCs w:val="18"/>
          <w:lang w:eastAsia="en-US"/>
        </w:rPr>
        <w:t>Facoltativo, nei contratti di durata superiore all’anno</w:t>
      </w:r>
      <w:r w:rsidRPr="00A33299">
        <w:rPr>
          <w:rFonts w:ascii="Titillium" w:hAnsi="Titillium"/>
          <w:color w:val="FF0000"/>
          <w:sz w:val="18"/>
          <w:szCs w:val="18"/>
        </w:rPr>
        <w:t>: A partire dalla seconda annualità contrattuale</w:t>
      </w:r>
      <w:r w:rsidRPr="00A33299">
        <w:rPr>
          <w:rFonts w:ascii="Titillium" w:hAnsi="Titillium"/>
          <w:b/>
          <w:i/>
          <w:color w:val="FF0000"/>
          <w:sz w:val="18"/>
          <w:szCs w:val="18"/>
        </w:rPr>
        <w:t>]</w:t>
      </w:r>
      <w:r w:rsidRPr="00A33299">
        <w:rPr>
          <w:rFonts w:ascii="Titillium" w:hAnsi="Titillium"/>
          <w:b/>
          <w:color w:val="FF0000"/>
          <w:sz w:val="18"/>
          <w:szCs w:val="18"/>
        </w:rPr>
        <w:t xml:space="preserve"> </w:t>
      </w:r>
      <w:r w:rsidRPr="00A33299">
        <w:rPr>
          <w:rFonts w:ascii="Titillium" w:hAnsi="Titillium"/>
          <w:color w:val="FF0000"/>
          <w:sz w:val="18"/>
          <w:szCs w:val="18"/>
        </w:rPr>
        <w:t xml:space="preserve">i prezzi sono aggiornati, in aumento o in diminuzione, … [indicare le modalità di revisione. Ad esempio, sulla base dei prezzi standard rilevati dall’ANAC, degli elenchi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 contratto].  </w:t>
      </w:r>
    </w:p>
    <w:p w14:paraId="1976F660" w14:textId="77777777" w:rsidR="00A33299" w:rsidRPr="00A33299" w:rsidRDefault="00A33299" w:rsidP="00A33299">
      <w:pPr>
        <w:pStyle w:val="Paragrafoelenco"/>
        <w:ind w:left="0"/>
        <w:rPr>
          <w:rFonts w:ascii="Titillium" w:hAnsi="Titillium"/>
          <w:color w:val="FF0000"/>
          <w:sz w:val="18"/>
          <w:szCs w:val="18"/>
        </w:rPr>
      </w:pPr>
      <w:r w:rsidRPr="00A33299">
        <w:rPr>
          <w:rFonts w:ascii="Titillium" w:hAnsi="Titillium"/>
          <w:b/>
          <w:i/>
          <w:color w:val="FF0000"/>
          <w:sz w:val="18"/>
          <w:szCs w:val="18"/>
        </w:rPr>
        <w:t>[Facoltativo]</w:t>
      </w:r>
      <w:r w:rsidRPr="00A33299">
        <w:rPr>
          <w:rFonts w:ascii="Titillium" w:hAnsi="Titillium"/>
          <w:color w:val="FF0000"/>
          <w:sz w:val="18"/>
          <w:szCs w:val="18"/>
        </w:rPr>
        <w:t xml:space="preserve"> La revisione dei prezzi è riconosciuta se le variazioni accertate risultano superiori al … per cento [</w:t>
      </w:r>
      <w:r w:rsidRPr="00A33299">
        <w:rPr>
          <w:rFonts w:ascii="Titillium" w:hAnsi="Titillium"/>
          <w:i/>
          <w:color w:val="FF0000"/>
          <w:sz w:val="18"/>
          <w:szCs w:val="18"/>
        </w:rPr>
        <w:t>indicare la percentuale</w:t>
      </w:r>
      <w:r w:rsidRPr="00A33299">
        <w:rPr>
          <w:rFonts w:ascii="Titillium" w:hAnsi="Titillium"/>
          <w:color w:val="FF0000"/>
          <w:sz w:val="18"/>
          <w:szCs w:val="18"/>
        </w:rPr>
        <w:t xml:space="preserve">] rispetto al prezzo originario. </w:t>
      </w:r>
    </w:p>
    <w:p w14:paraId="0995B29B" w14:textId="7894F937" w:rsidR="00A33299" w:rsidRPr="00655C22" w:rsidRDefault="00A33299" w:rsidP="00655C22">
      <w:pPr>
        <w:pStyle w:val="Paragrafoelenco"/>
        <w:ind w:left="0"/>
        <w:rPr>
          <w:rFonts w:ascii="Titillium" w:hAnsi="Titillium"/>
          <w:color w:val="FF0000"/>
          <w:sz w:val="18"/>
          <w:szCs w:val="18"/>
        </w:rPr>
      </w:pPr>
      <w:r w:rsidRPr="00A33299">
        <w:rPr>
          <w:rFonts w:ascii="Titillium" w:hAnsi="Titillium"/>
          <w:b/>
          <w:i/>
          <w:color w:val="FF0000"/>
          <w:sz w:val="18"/>
          <w:szCs w:val="18"/>
        </w:rPr>
        <w:t>[Facoltativo, nei contratti di durata superiore all’anno]</w:t>
      </w:r>
      <w:r w:rsidRPr="00A33299">
        <w:rPr>
          <w:rFonts w:ascii="Titillium" w:hAnsi="Titillium"/>
          <w:b/>
          <w:color w:val="FF0000"/>
          <w:sz w:val="18"/>
          <w:szCs w:val="18"/>
        </w:rPr>
        <w:t xml:space="preserve"> </w:t>
      </w:r>
      <w:r w:rsidRPr="00A33299">
        <w:rPr>
          <w:rFonts w:ascii="Titillium" w:hAnsi="Titillium"/>
          <w:color w:val="FF0000"/>
          <w:sz w:val="18"/>
          <w:szCs w:val="18"/>
        </w:rPr>
        <w:t>La revisione dei prezzi può essere richiesta una sola volta per ciascuna annualità.</w:t>
      </w:r>
    </w:p>
    <w:p w14:paraId="1B281F84" w14:textId="77777777" w:rsidR="004C53A8" w:rsidRDefault="00870286">
      <w:pPr>
        <w:pStyle w:val="Titolo2"/>
        <w:numPr>
          <w:ilvl w:val="0"/>
          <w:numId w:val="4"/>
        </w:numPr>
        <w:ind w:left="357" w:hanging="357"/>
      </w:pPr>
      <w:bookmarkStart w:id="277" w:name="_Toc498419727"/>
      <w:bookmarkStart w:id="278" w:name="_Toc497831535"/>
      <w:bookmarkStart w:id="279" w:name="_Toc95495885"/>
      <w:bookmarkEnd w:id="277"/>
      <w:bookmarkEnd w:id="278"/>
      <w:r>
        <w:rPr>
          <w:rFonts w:ascii="Titillium" w:hAnsi="Titillium"/>
          <w:sz w:val="18"/>
          <w:szCs w:val="18"/>
        </w:rPr>
        <w:t>SOGGETTI AMMESSI IN FORMA SINGOLA E ASSOCIATA</w:t>
      </w:r>
      <w:r>
        <w:rPr>
          <w:rFonts w:ascii="Titillium" w:hAnsi="Titillium"/>
          <w:sz w:val="18"/>
          <w:szCs w:val="18"/>
          <w:lang w:val="it-IT"/>
        </w:rPr>
        <w:t xml:space="preserve"> E CONDIZIONI DI PARTECIPAZIONE</w:t>
      </w:r>
      <w:bookmarkEnd w:id="279"/>
    </w:p>
    <w:p w14:paraId="6D4DCF0F" w14:textId="66F1E9E5" w:rsidR="004C53A8" w:rsidRDefault="00870286">
      <w:pPr>
        <w:spacing w:before="60" w:after="60"/>
        <w:rPr>
          <w:rFonts w:ascii="Titillium" w:hAnsi="Titillium" w:cs="Calibri"/>
          <w:sz w:val="18"/>
          <w:szCs w:val="18"/>
        </w:rPr>
      </w:pPr>
      <w:r>
        <w:rPr>
          <w:rFonts w:ascii="Titillium" w:hAnsi="Titillium" w:cs="Calibri"/>
          <w:sz w:val="18"/>
          <w:szCs w:val="18"/>
        </w:rPr>
        <w:t>Gli operatori economici possono partecipare alla presente gara in forma singola o associata, purché in possesso dei requisiti prescritti dai successivi articoli.</w:t>
      </w:r>
    </w:p>
    <w:p w14:paraId="68981AF7"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Ai soggetti costituiti in forma associata si applicano le disposizioni di cui agli articoli 47 e 48 del Codice. </w:t>
      </w:r>
    </w:p>
    <w:p w14:paraId="2ECEFE9C" w14:textId="7C1CBA32" w:rsidR="00D840A7" w:rsidRPr="00D840A7" w:rsidRDefault="00D840A7">
      <w:pPr>
        <w:spacing w:before="60" w:after="60"/>
        <w:rPr>
          <w:rFonts w:ascii="Titillium" w:hAnsi="Titillium" w:cs="Courier New"/>
          <w:sz w:val="18"/>
          <w:szCs w:val="18"/>
        </w:rPr>
      </w:pPr>
      <w:r>
        <w:rPr>
          <w:rFonts w:ascii="Titillium" w:hAnsi="Titillium" w:cs="Courier New"/>
          <w:b/>
          <w:sz w:val="18"/>
          <w:szCs w:val="18"/>
        </w:rPr>
        <w:t>[</w:t>
      </w:r>
      <w:r w:rsidR="00E7138C">
        <w:rPr>
          <w:rFonts w:ascii="Titillium" w:hAnsi="Titillium" w:cs="Courier New"/>
          <w:b/>
          <w:sz w:val="18"/>
          <w:szCs w:val="18"/>
        </w:rPr>
        <w:t>Facoltativo</w:t>
      </w:r>
      <w:r>
        <w:rPr>
          <w:rFonts w:ascii="Titillium" w:hAnsi="Titillium" w:cs="Courier New"/>
          <w:b/>
          <w:sz w:val="18"/>
          <w:szCs w:val="18"/>
        </w:rPr>
        <w:t xml:space="preserve">] </w:t>
      </w:r>
      <w:r w:rsidR="00902CAC">
        <w:rPr>
          <w:rFonts w:ascii="Titillium" w:hAnsi="Titillium" w:cs="Courier New"/>
          <w:sz w:val="18"/>
          <w:szCs w:val="18"/>
        </w:rPr>
        <w:t>Pos</w:t>
      </w:r>
      <w:r w:rsidR="00DC50AD">
        <w:rPr>
          <w:rFonts w:ascii="Titillium" w:hAnsi="Titillium" w:cs="Courier New"/>
          <w:sz w:val="18"/>
          <w:szCs w:val="18"/>
        </w:rPr>
        <w:t xml:space="preserve">sono </w:t>
      </w:r>
      <w:r w:rsidR="00902CAC">
        <w:rPr>
          <w:rFonts w:ascii="Titillium" w:hAnsi="Titillium" w:cs="Courier New"/>
          <w:sz w:val="18"/>
          <w:szCs w:val="18"/>
        </w:rPr>
        <w:t xml:space="preserve">essere </w:t>
      </w:r>
      <w:r w:rsidRPr="00E7138C">
        <w:rPr>
          <w:rFonts w:ascii="Titillium" w:hAnsi="Titillium" w:cs="Courier New"/>
          <w:b/>
          <w:sz w:val="18"/>
          <w:szCs w:val="18"/>
        </w:rPr>
        <w:t>esclu</w:t>
      </w:r>
      <w:r w:rsidR="00DC50AD">
        <w:rPr>
          <w:rFonts w:ascii="Titillium" w:hAnsi="Titillium" w:cs="Courier New"/>
          <w:b/>
          <w:sz w:val="18"/>
          <w:szCs w:val="18"/>
        </w:rPr>
        <w:t>si</w:t>
      </w:r>
      <w:r>
        <w:rPr>
          <w:rFonts w:ascii="Titillium" w:hAnsi="Titillium" w:cs="Courier New"/>
          <w:sz w:val="18"/>
          <w:szCs w:val="18"/>
        </w:rPr>
        <w:t xml:space="preserve"> dalla gara</w:t>
      </w:r>
      <w:r w:rsidR="00902CAC">
        <w:rPr>
          <w:rFonts w:ascii="Titillium" w:hAnsi="Titillium" w:cs="Courier New"/>
          <w:sz w:val="18"/>
          <w:szCs w:val="18"/>
        </w:rPr>
        <w:t>, previo contraddittorio,</w:t>
      </w:r>
      <w:r>
        <w:rPr>
          <w:rFonts w:ascii="Titillium" w:hAnsi="Titillium" w:cs="Courier New"/>
          <w:sz w:val="18"/>
          <w:szCs w:val="18"/>
        </w:rPr>
        <w:t xml:space="preserve"> i raggruppamenti temporanei costituiti da due o più operatori economici che singolarmente hanno i requisiti per partecipare alla gara. Tale facoltà non opera </w:t>
      </w:r>
      <w:r w:rsidR="00F26600">
        <w:rPr>
          <w:rFonts w:ascii="Titillium" w:hAnsi="Titillium" w:cs="Courier New"/>
          <w:sz w:val="18"/>
          <w:szCs w:val="18"/>
        </w:rPr>
        <w:t xml:space="preserve">nel caso in cui i raggruppamenti </w:t>
      </w:r>
      <w:r w:rsidR="00DC50AD">
        <w:rPr>
          <w:rFonts w:ascii="Titillium" w:hAnsi="Titillium" w:cs="Courier New"/>
          <w:sz w:val="18"/>
          <w:szCs w:val="18"/>
        </w:rPr>
        <w:t>so</w:t>
      </w:r>
      <w:r w:rsidR="00F26600">
        <w:rPr>
          <w:rFonts w:ascii="Titillium" w:hAnsi="Titillium" w:cs="Courier New"/>
          <w:sz w:val="18"/>
          <w:szCs w:val="18"/>
        </w:rPr>
        <w:t xml:space="preserve">no costituiti da </w:t>
      </w:r>
      <w:r>
        <w:rPr>
          <w:rFonts w:ascii="Titillium" w:hAnsi="Titillium" w:cs="Courier New"/>
          <w:sz w:val="18"/>
          <w:szCs w:val="18"/>
        </w:rPr>
        <w:t xml:space="preserve">imprese controllate </w:t>
      </w:r>
      <w:r w:rsidR="00F26600">
        <w:rPr>
          <w:rFonts w:ascii="Titillium" w:hAnsi="Titillium" w:cs="Courier New"/>
          <w:sz w:val="18"/>
          <w:szCs w:val="18"/>
        </w:rPr>
        <w:t xml:space="preserve">e/o collegate </w:t>
      </w:r>
      <w:r>
        <w:rPr>
          <w:rFonts w:ascii="Titillium" w:hAnsi="Titillium" w:cs="Courier New"/>
          <w:sz w:val="18"/>
          <w:szCs w:val="18"/>
        </w:rPr>
        <w:t xml:space="preserve">ai sensi dell’articolo 2359 c.c. </w:t>
      </w:r>
    </w:p>
    <w:p w14:paraId="2E4F70C4" w14:textId="0E42AC0C" w:rsidR="004C53A8" w:rsidRDefault="00870286">
      <w:pPr>
        <w:spacing w:before="60" w:after="60"/>
      </w:pPr>
      <w:r>
        <w:rPr>
          <w:rFonts w:ascii="Titillium" w:hAnsi="Titillium" w:cs="Courier New"/>
          <w:b/>
          <w:sz w:val="18"/>
          <w:szCs w:val="18"/>
        </w:rPr>
        <w:lastRenderedPageBreak/>
        <w:t>È vietato</w:t>
      </w:r>
      <w:r>
        <w:rPr>
          <w:rFonts w:ascii="Titillium" w:hAnsi="Titillium" w:cs="Courier New"/>
          <w:sz w:val="18"/>
          <w:szCs w:val="18"/>
        </w:rPr>
        <w:t xml:space="preserve"> ai concorrenti di partecipare alla gara </w:t>
      </w:r>
      <w:r>
        <w:rPr>
          <w:rFonts w:ascii="Titillium" w:hAnsi="Titillium" w:cs="Calibri"/>
          <w:i/>
          <w:sz w:val="18"/>
          <w:szCs w:val="18"/>
        </w:rPr>
        <w:t xml:space="preserve">[in caso di suddivisione dell’appalto in lotti distinti sostituire “gara” con “singolo lotto”] </w:t>
      </w:r>
      <w:r>
        <w:rPr>
          <w:rFonts w:ascii="Titillium" w:hAnsi="Titillium" w:cs="Courier New"/>
          <w:sz w:val="18"/>
          <w:szCs w:val="18"/>
        </w:rPr>
        <w:t>in più</w:t>
      </w:r>
      <w:r>
        <w:rPr>
          <w:rFonts w:ascii="Titillium" w:hAnsi="Titillium" w:cs="Courier New"/>
          <w:b/>
          <w:sz w:val="18"/>
          <w:szCs w:val="18"/>
        </w:rPr>
        <w:t xml:space="preserve"> </w:t>
      </w:r>
      <w:r>
        <w:rPr>
          <w:rFonts w:ascii="Titillium" w:hAnsi="Titillium" w:cs="Courier New"/>
          <w:sz w:val="18"/>
          <w:szCs w:val="18"/>
        </w:rPr>
        <w:t xml:space="preserve">di un raggruppamento temporaneo o consorzio ordinario di concorrenti o </w:t>
      </w:r>
      <w:r>
        <w:rPr>
          <w:rFonts w:ascii="Titillium" w:hAnsi="Titillium" w:cs="Calibri"/>
          <w:sz w:val="18"/>
          <w:szCs w:val="18"/>
        </w:rPr>
        <w:t xml:space="preserve">aggregazione di operatori economici aderenti al contratto di rete (nel prosieguo, aggregazione </w:t>
      </w:r>
      <w:r>
        <w:rPr>
          <w:rFonts w:ascii="Titillium" w:hAnsi="Titillium"/>
          <w:sz w:val="18"/>
          <w:szCs w:val="18"/>
        </w:rPr>
        <w:t>di reti</w:t>
      </w:r>
      <w:r>
        <w:rPr>
          <w:rFonts w:ascii="Titillium" w:hAnsi="Titillium" w:cs="Calibri"/>
          <w:sz w:val="18"/>
          <w:szCs w:val="18"/>
          <w:highlight w:val="white"/>
        </w:rPr>
        <w:t>sti)</w:t>
      </w:r>
      <w:r>
        <w:rPr>
          <w:rFonts w:ascii="Titillium" w:hAnsi="Titillium" w:cs="Courier New"/>
          <w:sz w:val="18"/>
          <w:szCs w:val="18"/>
          <w:highlight w:val="white"/>
        </w:rPr>
        <w:t>.</w:t>
      </w:r>
    </w:p>
    <w:p w14:paraId="38A5CC6C"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al concorrente che partecipa alla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xml:space="preserve"> in raggruppamento o consorzio ordinario di concorrenti, di partecipare anche in forma individuale. </w:t>
      </w:r>
    </w:p>
    <w:p w14:paraId="4BA00E12"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al concorrente che partecipa alla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xml:space="preserve"> in aggregazione di rete, di partecipare anche in forma individuale. Le retiste non partecipanti all’aggregazione possono presentare offerta, per la medesima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in forma singola o associata.</w:t>
      </w:r>
    </w:p>
    <w:p w14:paraId="5648A347" w14:textId="77777777" w:rsidR="004C53A8" w:rsidRDefault="00870286">
      <w:pPr>
        <w:spacing w:before="60" w:after="60"/>
      </w:pPr>
      <w:r>
        <w:rPr>
          <w:rFonts w:ascii="Titillium" w:hAnsi="Titillium" w:cs="Courier New"/>
          <w:sz w:val="18"/>
          <w:szCs w:val="18"/>
        </w:rPr>
        <w:t xml:space="preserve">I consorzi di cui all’articolo 45, comma 2, lettera b) e c) del Codice sono tenuti ad indicare, in sede di offerta, per quali consorziati il consorzio concorre; a questi ultimi è vietato partecipare, in qualsiasi altra forma, alla presente gara </w:t>
      </w:r>
      <w:r>
        <w:rPr>
          <w:rFonts w:ascii="Titillium" w:hAnsi="Titillium" w:cs="Courier New"/>
          <w:i/>
          <w:sz w:val="18"/>
          <w:szCs w:val="18"/>
        </w:rPr>
        <w:t>[in caso di suddivisione dell’appalto in lotti distinti sostituire “gara” con “singolo lotto”</w:t>
      </w:r>
      <w:r>
        <w:rPr>
          <w:rFonts w:ascii="Titillium" w:hAnsi="Titillium" w:cs="Courier New"/>
          <w:sz w:val="18"/>
          <w:szCs w:val="18"/>
        </w:rPr>
        <w:t>].</w:t>
      </w:r>
      <w:r>
        <w:t xml:space="preserve"> </w:t>
      </w:r>
      <w:r>
        <w:rPr>
          <w:rFonts w:ascii="Titillium" w:hAnsi="Titillium" w:cs="Courier New"/>
          <w:sz w:val="18"/>
          <w:szCs w:val="18"/>
        </w:rPr>
        <w:t>In caso di violazione sono esclusi dalla gara sia il consorzio sia il consorziato; in caso di inosservanza di tale divieto si applica l'articolo 353 del codice penale.</w:t>
      </w:r>
    </w:p>
    <w:p w14:paraId="3BACB35C" w14:textId="05118268" w:rsidR="004C53A8" w:rsidRDefault="00870286">
      <w:pPr>
        <w:spacing w:before="60" w:after="60"/>
      </w:pPr>
      <w:r>
        <w:rPr>
          <w:rFonts w:ascii="Titillium" w:hAnsi="Titillium" w:cs="Courier New"/>
          <w:sz w:val="18"/>
          <w:szCs w:val="18"/>
        </w:rPr>
        <w:t xml:space="preserve">In alternativa i consorzi di cui all’articolo 45, comma 2, lettera c) del Codice possono eseguire le prestazioni </w:t>
      </w:r>
      <w:r w:rsidR="00F26600">
        <w:rPr>
          <w:rFonts w:ascii="Titillium" w:hAnsi="Titillium" w:cs="Courier New"/>
          <w:sz w:val="18"/>
          <w:szCs w:val="18"/>
        </w:rPr>
        <w:t xml:space="preserve">con </w:t>
      </w:r>
      <w:r>
        <w:rPr>
          <w:rFonts w:ascii="Titillium" w:hAnsi="Titillium" w:cs="Courier New"/>
          <w:sz w:val="18"/>
          <w:szCs w:val="18"/>
        </w:rPr>
        <w:t>la propria struttura.</w:t>
      </w:r>
    </w:p>
    <w:p w14:paraId="6B699EB8"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ai consorziati designati dal consorzio di cui all’articolo 45, comma 2, lettere b) e c) del Codice, di indicare a loro volta, a cascata, un altro soggetto per l’esecuzione.</w:t>
      </w:r>
    </w:p>
    <w:p w14:paraId="4DFAF1ED" w14:textId="6A01BD82" w:rsidR="004C53A8" w:rsidRDefault="00870286">
      <w:pPr>
        <w:spacing w:before="60" w:after="60"/>
        <w:rPr>
          <w:rFonts w:ascii="Titillium" w:hAnsi="Titillium" w:cs="Courier New"/>
          <w:sz w:val="18"/>
          <w:szCs w:val="18"/>
        </w:rPr>
      </w:pPr>
      <w:r>
        <w:rPr>
          <w:rFonts w:ascii="Titillium" w:hAnsi="Titillium" w:cs="Courier New"/>
          <w:sz w:val="18"/>
          <w:szCs w:val="18"/>
        </w:rPr>
        <w:t>Qualora il consorziato designato sia, a sua volta, un consorzio di cui all’art</w:t>
      </w:r>
      <w:r w:rsidR="00F26600">
        <w:rPr>
          <w:rFonts w:ascii="Titillium" w:hAnsi="Titillium" w:cs="Courier New"/>
          <w:sz w:val="18"/>
          <w:szCs w:val="18"/>
        </w:rPr>
        <w:t>icolo</w:t>
      </w:r>
      <w:r>
        <w:rPr>
          <w:rFonts w:ascii="Titillium" w:hAnsi="Titillium" w:cs="Courier New"/>
          <w:sz w:val="18"/>
          <w:szCs w:val="18"/>
        </w:rPr>
        <w:t xml:space="preserve"> 45 comma 2, lettera b) è tenuto anch’esso a indicare, in sede di offerta, i consorziati per i quali concorre; a questi ultimi è vietato partecipare, in qualsiasi altra forma, alla presente gara. In caso di violazione sono esclusi dalla gara sia il consorzio sia il consorziato; in caso di inosservanza di tale divieto si applica l'articolo 353 del codice penale.</w:t>
      </w:r>
    </w:p>
    <w:p w14:paraId="7992A7AE" w14:textId="0335AF4A" w:rsidR="004C53A8" w:rsidRDefault="00870286">
      <w:pPr>
        <w:spacing w:before="60" w:after="60"/>
      </w:pPr>
      <w:r>
        <w:rPr>
          <w:rFonts w:ascii="Titillium" w:hAnsi="Titillium" w:cs="Courier New"/>
          <w:b/>
          <w:i/>
          <w:sz w:val="18"/>
          <w:szCs w:val="18"/>
        </w:rPr>
        <w:t>[</w:t>
      </w:r>
      <w:r w:rsidR="00242213">
        <w:rPr>
          <w:rFonts w:ascii="Titillium" w:hAnsi="Titillium" w:cs="Courier New"/>
          <w:b/>
          <w:i/>
          <w:sz w:val="18"/>
          <w:szCs w:val="18"/>
        </w:rPr>
        <w:t xml:space="preserve">Facoltativo </w:t>
      </w:r>
      <w:r w:rsidR="00E6392E">
        <w:rPr>
          <w:rFonts w:ascii="Titillium" w:hAnsi="Titillium" w:cs="Courier New"/>
          <w:b/>
          <w:i/>
          <w:sz w:val="18"/>
          <w:szCs w:val="18"/>
        </w:rPr>
        <w:t>i</w:t>
      </w:r>
      <w:r>
        <w:rPr>
          <w:rFonts w:ascii="Titillium" w:hAnsi="Titillium" w:cs="Courier New"/>
          <w:b/>
          <w:i/>
          <w:sz w:val="18"/>
          <w:szCs w:val="18"/>
        </w:rPr>
        <w:t xml:space="preserve">n caso di </w:t>
      </w:r>
      <w:r w:rsidR="00D16350">
        <w:rPr>
          <w:rFonts w:ascii="Titillium" w:hAnsi="Titillium" w:cs="Courier New"/>
          <w:b/>
          <w:i/>
          <w:sz w:val="18"/>
          <w:szCs w:val="18"/>
        </w:rPr>
        <w:t xml:space="preserve">suddivisione in lotti se la </w:t>
      </w:r>
      <w:r>
        <w:rPr>
          <w:rFonts w:ascii="Titillium" w:hAnsi="Titillium" w:cs="Courier New"/>
          <w:b/>
          <w:i/>
          <w:sz w:val="18"/>
          <w:szCs w:val="18"/>
        </w:rPr>
        <w:t xml:space="preserve">gara </w:t>
      </w:r>
      <w:r w:rsidR="00D16350">
        <w:rPr>
          <w:rFonts w:ascii="Titillium" w:hAnsi="Titillium" w:cs="Courier New"/>
          <w:b/>
          <w:i/>
          <w:sz w:val="18"/>
          <w:szCs w:val="18"/>
        </w:rPr>
        <w:t xml:space="preserve">è </w:t>
      </w:r>
      <w:r>
        <w:rPr>
          <w:rFonts w:ascii="Titillium" w:hAnsi="Titillium" w:cs="Courier New"/>
          <w:b/>
          <w:i/>
          <w:sz w:val="18"/>
          <w:szCs w:val="18"/>
        </w:rPr>
        <w:t xml:space="preserve">ad oggetto plurimo] </w:t>
      </w:r>
      <w:r>
        <w:rPr>
          <w:rFonts w:ascii="Titillium" w:hAnsi="Titillium" w:cs="Courier New"/>
          <w:sz w:val="18"/>
          <w:szCs w:val="18"/>
        </w:rPr>
        <w:t xml:space="preserve">I concorrenti che presentano offerta per più lotti possono partecipare </w:t>
      </w:r>
      <w:r w:rsidR="006F1FC8">
        <w:rPr>
          <w:rFonts w:ascii="Titillium" w:hAnsi="Titillium" w:cs="Courier New"/>
          <w:sz w:val="18"/>
          <w:szCs w:val="18"/>
        </w:rPr>
        <w:t xml:space="preserve">per lotti diversi </w:t>
      </w:r>
      <w:r>
        <w:rPr>
          <w:rFonts w:ascii="Titillium" w:hAnsi="Titillium" w:cs="Courier New"/>
          <w:sz w:val="18"/>
          <w:szCs w:val="18"/>
        </w:rPr>
        <w:t>nella medesima o in diversa forma (singola o associata). I consorzi di cui all’articolo 45, comma 2, lettere b) e c) del Codice, possono indicare consorziati esecutori diversi per ogni lotto. I medesimi consorziati esecutori e gli operatori economici raggruppati possono partecipare ad altri lotti da soli o in raggruppamento temporaneo di imprese/</w:t>
      </w:r>
      <w:r w:rsidR="00563140">
        <w:rPr>
          <w:rFonts w:ascii="Titillium" w:hAnsi="Titillium" w:cs="Courier New"/>
          <w:sz w:val="18"/>
          <w:szCs w:val="18"/>
        </w:rPr>
        <w:t>c</w:t>
      </w:r>
      <w:r>
        <w:rPr>
          <w:rFonts w:ascii="Titillium" w:hAnsi="Titillium" w:cs="Courier New"/>
          <w:sz w:val="18"/>
          <w:szCs w:val="18"/>
        </w:rPr>
        <w:t>onsorzi con altri operatori</w:t>
      </w:r>
      <w:r w:rsidR="00812F43">
        <w:rPr>
          <w:rFonts w:ascii="Titillium" w:hAnsi="Titillium" w:cs="Courier New"/>
          <w:sz w:val="18"/>
          <w:szCs w:val="18"/>
        </w:rPr>
        <w:t xml:space="preserve">. </w:t>
      </w:r>
    </w:p>
    <w:p w14:paraId="2E793E5C" w14:textId="66F623CE" w:rsidR="003804C1" w:rsidRDefault="00870286">
      <w:pPr>
        <w:spacing w:before="60" w:after="60"/>
        <w:rPr>
          <w:rFonts w:ascii="Titillium" w:hAnsi="Titillium" w:cs="Courier New"/>
          <w:bCs/>
          <w:iCs/>
          <w:sz w:val="18"/>
          <w:szCs w:val="18"/>
        </w:rPr>
      </w:pPr>
      <w:r>
        <w:rPr>
          <w:rFonts w:ascii="Titillium" w:hAnsi="Titillium" w:cs="Courier New"/>
          <w:b/>
          <w:bCs/>
          <w:i/>
          <w:iCs/>
          <w:sz w:val="18"/>
          <w:szCs w:val="18"/>
        </w:rPr>
        <w:t>[</w:t>
      </w:r>
      <w:r w:rsidR="00E6392E">
        <w:rPr>
          <w:rFonts w:ascii="Titillium" w:hAnsi="Titillium" w:cs="Courier New"/>
          <w:b/>
          <w:bCs/>
          <w:i/>
          <w:iCs/>
          <w:sz w:val="18"/>
          <w:szCs w:val="18"/>
        </w:rPr>
        <w:t>F</w:t>
      </w:r>
      <w:r w:rsidR="00187BF3">
        <w:rPr>
          <w:rFonts w:ascii="Titillium" w:hAnsi="Titillium" w:cs="Courier New"/>
          <w:b/>
          <w:bCs/>
          <w:i/>
          <w:iCs/>
          <w:sz w:val="18"/>
          <w:szCs w:val="18"/>
        </w:rPr>
        <w:t>acoltativo</w:t>
      </w:r>
      <w:r w:rsidR="00242213">
        <w:rPr>
          <w:rFonts w:ascii="Titillium" w:hAnsi="Titillium" w:cs="Courier New"/>
          <w:b/>
          <w:bCs/>
          <w:i/>
          <w:iCs/>
          <w:sz w:val="18"/>
          <w:szCs w:val="18"/>
        </w:rPr>
        <w:t xml:space="preserve"> </w:t>
      </w:r>
      <w:r w:rsidR="00E6392E">
        <w:rPr>
          <w:rFonts w:ascii="Titillium" w:hAnsi="Titillium" w:cs="Courier New"/>
          <w:b/>
          <w:bCs/>
          <w:i/>
          <w:iCs/>
          <w:sz w:val="18"/>
          <w:szCs w:val="18"/>
        </w:rPr>
        <w:t>i</w:t>
      </w:r>
      <w:r w:rsidR="00563087">
        <w:rPr>
          <w:rFonts w:ascii="Titillium" w:hAnsi="Titillium" w:cs="Courier New"/>
          <w:b/>
          <w:bCs/>
          <w:i/>
          <w:iCs/>
          <w:sz w:val="18"/>
          <w:szCs w:val="18"/>
        </w:rPr>
        <w:t xml:space="preserve">n </w:t>
      </w:r>
      <w:r>
        <w:rPr>
          <w:rFonts w:ascii="Titillium" w:hAnsi="Titillium" w:cs="Courier New"/>
          <w:b/>
          <w:bCs/>
          <w:i/>
          <w:iCs/>
          <w:sz w:val="18"/>
          <w:szCs w:val="18"/>
        </w:rPr>
        <w:t xml:space="preserve">caso di </w:t>
      </w:r>
      <w:r w:rsidR="00D16350">
        <w:rPr>
          <w:rFonts w:ascii="Titillium" w:hAnsi="Titillium" w:cs="Courier New"/>
          <w:b/>
          <w:bCs/>
          <w:i/>
          <w:iCs/>
          <w:sz w:val="18"/>
          <w:szCs w:val="18"/>
        </w:rPr>
        <w:t>suddivisione in lotti se la gara è unitaria</w:t>
      </w:r>
      <w:r>
        <w:rPr>
          <w:rFonts w:ascii="Titillium" w:hAnsi="Titillium" w:cs="Courier New"/>
          <w:b/>
          <w:bCs/>
          <w:i/>
          <w:iCs/>
          <w:sz w:val="18"/>
          <w:szCs w:val="18"/>
        </w:rPr>
        <w:t>]</w:t>
      </w:r>
      <w:r w:rsidR="00187BF3">
        <w:rPr>
          <w:rFonts w:ascii="Titillium" w:hAnsi="Titillium" w:cs="Courier New"/>
          <w:b/>
          <w:bCs/>
          <w:i/>
          <w:iCs/>
          <w:sz w:val="18"/>
          <w:szCs w:val="18"/>
        </w:rPr>
        <w:t xml:space="preserve"> </w:t>
      </w:r>
      <w:r w:rsidRPr="00E7138C">
        <w:rPr>
          <w:rFonts w:ascii="Titillium" w:hAnsi="Titillium" w:cs="Courier New"/>
          <w:bCs/>
          <w:iCs/>
          <w:sz w:val="18"/>
          <w:szCs w:val="18"/>
        </w:rPr>
        <w:t>Il concorrente che intende partecipare a più lotti è tenuto a presentarsi sempre nella medesima forma (individuale o associata)</w:t>
      </w:r>
      <w:r w:rsidR="00F26600" w:rsidRPr="00E7138C">
        <w:rPr>
          <w:rFonts w:ascii="Titillium" w:hAnsi="Titillium" w:cs="Courier New"/>
          <w:bCs/>
          <w:iCs/>
          <w:sz w:val="18"/>
          <w:szCs w:val="18"/>
        </w:rPr>
        <w:t xml:space="preserve"> </w:t>
      </w:r>
      <w:r w:rsidRPr="00E7138C">
        <w:rPr>
          <w:rFonts w:ascii="Titillium" w:hAnsi="Titillium" w:cs="Courier New"/>
          <w:bCs/>
          <w:iCs/>
          <w:sz w:val="18"/>
          <w:szCs w:val="18"/>
        </w:rPr>
        <w:t>ed in caso di RTI, sempre nella medesima composizione, pena l’</w:t>
      </w:r>
      <w:r w:rsidRPr="00675F99">
        <w:rPr>
          <w:rFonts w:ascii="Titillium" w:hAnsi="Titillium" w:cs="Courier New"/>
          <w:b/>
          <w:bCs/>
          <w:iCs/>
          <w:sz w:val="18"/>
          <w:szCs w:val="18"/>
        </w:rPr>
        <w:t>esclusione</w:t>
      </w:r>
      <w:r w:rsidRPr="00E7138C">
        <w:rPr>
          <w:rFonts w:ascii="Titillium" w:hAnsi="Titillium" w:cs="Courier New"/>
          <w:bCs/>
          <w:iCs/>
          <w:sz w:val="18"/>
          <w:szCs w:val="18"/>
        </w:rPr>
        <w:t xml:space="preserve"> del soggetto stesso e del concorrente in forma associata cui il soggetto partecipa</w:t>
      </w:r>
      <w:r w:rsidR="00B33BC1">
        <w:rPr>
          <w:rFonts w:ascii="Titillium" w:hAnsi="Titillium" w:cs="Courier New"/>
          <w:bCs/>
          <w:iCs/>
          <w:sz w:val="18"/>
          <w:szCs w:val="18"/>
        </w:rPr>
        <w:t>.</w:t>
      </w:r>
      <w:r w:rsidRPr="00B33BC1">
        <w:rPr>
          <w:rFonts w:ascii="Titillium" w:hAnsi="Titillium" w:cs="Courier New"/>
          <w:b/>
          <w:bCs/>
          <w:i/>
          <w:iCs/>
          <w:sz w:val="18"/>
          <w:szCs w:val="18"/>
        </w:rPr>
        <w:t xml:space="preserve"> </w:t>
      </w:r>
      <w:r w:rsidR="004F6DC8" w:rsidRPr="004F6DC8">
        <w:rPr>
          <w:rFonts w:ascii="Titillium" w:hAnsi="Titillium" w:cs="Courier New"/>
          <w:bCs/>
          <w:iCs/>
          <w:sz w:val="18"/>
          <w:szCs w:val="18"/>
        </w:rPr>
        <w:t>I consorzi di cui all’articolo 45, comma 2, lettere b) e c) del Codice possono indicare consorziati esecutori diversi, ma questi ultimi non possono partecipare in altra forma ad altri lotti pena la loro esclusione e quella del consorzio da tutti i lotti</w:t>
      </w:r>
      <w:r w:rsidR="00E65A3B">
        <w:rPr>
          <w:rFonts w:ascii="Titillium" w:hAnsi="Titillium" w:cs="Courier New"/>
          <w:bCs/>
          <w:iCs/>
          <w:sz w:val="18"/>
          <w:szCs w:val="18"/>
        </w:rPr>
        <w:t>.</w:t>
      </w:r>
    </w:p>
    <w:p w14:paraId="2DE116A0" w14:textId="77777777" w:rsidR="005104B1" w:rsidRDefault="005104B1" w:rsidP="005104B1">
      <w:pPr>
        <w:spacing w:before="60" w:after="60"/>
        <w:rPr>
          <w:rFonts w:ascii="Titillium" w:hAnsi="Titillium" w:cs="Calibri"/>
          <w:b/>
          <w:i/>
          <w:sz w:val="18"/>
          <w:szCs w:val="18"/>
        </w:rPr>
      </w:pPr>
    </w:p>
    <w:tbl>
      <w:tblPr>
        <w:tblW w:w="9317" w:type="dxa"/>
        <w:tblInd w:w="-108" w:type="dxa"/>
        <w:tblLook w:val="04A0" w:firstRow="1" w:lastRow="0" w:firstColumn="1" w:lastColumn="0" w:noHBand="0" w:noVBand="1"/>
      </w:tblPr>
      <w:tblGrid>
        <w:gridCol w:w="9317"/>
      </w:tblGrid>
      <w:tr w:rsidR="005104B1" w14:paraId="0FB398EF" w14:textId="77777777" w:rsidTr="00906156">
        <w:tc>
          <w:tcPr>
            <w:tcW w:w="9317" w:type="dxa"/>
            <w:tcBorders>
              <w:top w:val="single" w:sz="4" w:space="0" w:color="000000"/>
              <w:left w:val="single" w:sz="4" w:space="0" w:color="000000"/>
              <w:bottom w:val="single" w:sz="4" w:space="0" w:color="000000"/>
              <w:right w:val="single" w:sz="4" w:space="0" w:color="000000"/>
            </w:tcBorders>
          </w:tcPr>
          <w:p w14:paraId="0B3BC9A6" w14:textId="20025735" w:rsidR="005104B1" w:rsidRDefault="005104B1" w:rsidP="00902CAC">
            <w:pPr>
              <w:spacing w:before="60" w:after="60"/>
            </w:pPr>
            <w:r>
              <w:rPr>
                <w:rFonts w:ascii="Titillium" w:hAnsi="Titillium"/>
                <w:i/>
                <w:sz w:val="18"/>
                <w:szCs w:val="18"/>
              </w:rPr>
              <w:t>N.B.  L</w:t>
            </w:r>
            <w:r w:rsidRPr="005104B1">
              <w:rPr>
                <w:rFonts w:ascii="Titillium" w:hAnsi="Titillium"/>
                <w:i/>
                <w:sz w:val="18"/>
                <w:szCs w:val="18"/>
              </w:rPr>
              <w:t xml:space="preserve">e peculiarità del mercato di riferimento e dell’oggetto dell’appalto potrebbero giustificare in specifiche ipotesi la </w:t>
            </w:r>
            <w:r w:rsidR="00812F43">
              <w:rPr>
                <w:rFonts w:ascii="Titillium" w:hAnsi="Titillium"/>
                <w:i/>
                <w:sz w:val="18"/>
                <w:szCs w:val="18"/>
              </w:rPr>
              <w:t xml:space="preserve">deroga alla predetta clausola, consentendo ad un RTI di presentare offerte per più lotti in una </w:t>
            </w:r>
            <w:r w:rsidRPr="005104B1">
              <w:rPr>
                <w:rFonts w:ascii="Titillium" w:hAnsi="Titillium"/>
                <w:i/>
                <w:sz w:val="18"/>
                <w:szCs w:val="18"/>
              </w:rPr>
              <w:t>differente composizione dello stesso.</w:t>
            </w:r>
            <w:r>
              <w:rPr>
                <w:rFonts w:ascii="Titillium" w:hAnsi="Titillium"/>
                <w:i/>
                <w:sz w:val="18"/>
                <w:szCs w:val="18"/>
              </w:rPr>
              <w:t xml:space="preserve"> Si pensi</w:t>
            </w:r>
            <w:r w:rsidR="00DC50AD">
              <w:rPr>
                <w:rFonts w:ascii="Titillium" w:hAnsi="Titillium"/>
                <w:i/>
                <w:sz w:val="18"/>
                <w:szCs w:val="18"/>
              </w:rPr>
              <w:t>,</w:t>
            </w:r>
            <w:r>
              <w:rPr>
                <w:rFonts w:ascii="Titillium" w:hAnsi="Titillium"/>
                <w:i/>
                <w:sz w:val="18"/>
                <w:szCs w:val="18"/>
              </w:rPr>
              <w:t xml:space="preserve"> ad esempio</w:t>
            </w:r>
            <w:r w:rsidR="00DC50AD">
              <w:rPr>
                <w:rFonts w:ascii="Titillium" w:hAnsi="Titillium"/>
                <w:i/>
                <w:sz w:val="18"/>
                <w:szCs w:val="18"/>
              </w:rPr>
              <w:t>,</w:t>
            </w:r>
            <w:r>
              <w:rPr>
                <w:rFonts w:ascii="Titillium" w:hAnsi="Titillium"/>
                <w:i/>
                <w:sz w:val="18"/>
                <w:szCs w:val="18"/>
              </w:rPr>
              <w:t xml:space="preserve"> </w:t>
            </w:r>
            <w:r w:rsidR="00DC50AD">
              <w:rPr>
                <w:rFonts w:ascii="Titillium" w:hAnsi="Titillium"/>
                <w:i/>
                <w:sz w:val="18"/>
                <w:szCs w:val="18"/>
              </w:rPr>
              <w:t>ai servizi per i quali esistono</w:t>
            </w:r>
            <w:r w:rsidR="004F34BE">
              <w:rPr>
                <w:rFonts w:ascii="Titillium" w:hAnsi="Titillium"/>
                <w:i/>
                <w:sz w:val="18"/>
                <w:szCs w:val="18"/>
              </w:rPr>
              <w:t xml:space="preserve"> </w:t>
            </w:r>
            <w:r w:rsidR="004F34BE" w:rsidRPr="004F34BE">
              <w:rPr>
                <w:rFonts w:ascii="Titillium" w:hAnsi="Titillium"/>
                <w:i/>
                <w:sz w:val="18"/>
                <w:szCs w:val="18"/>
              </w:rPr>
              <w:t>licenz</w:t>
            </w:r>
            <w:r w:rsidR="004F34BE">
              <w:rPr>
                <w:rFonts w:ascii="Titillium" w:hAnsi="Titillium"/>
                <w:i/>
                <w:sz w:val="18"/>
                <w:szCs w:val="18"/>
              </w:rPr>
              <w:t>e</w:t>
            </w:r>
            <w:r w:rsidR="00DC50AD">
              <w:rPr>
                <w:rFonts w:ascii="Titillium" w:hAnsi="Titillium"/>
                <w:i/>
                <w:sz w:val="18"/>
                <w:szCs w:val="18"/>
              </w:rPr>
              <w:t xml:space="preserve"> o autorizzazioni a livello</w:t>
            </w:r>
            <w:r w:rsidR="004F34BE" w:rsidRPr="004F34BE">
              <w:rPr>
                <w:rFonts w:ascii="Titillium" w:hAnsi="Titillium"/>
                <w:i/>
                <w:sz w:val="18"/>
                <w:szCs w:val="18"/>
              </w:rPr>
              <w:t xml:space="preserve"> </w:t>
            </w:r>
            <w:r w:rsidR="00902CAC">
              <w:rPr>
                <w:rFonts w:ascii="Titillium" w:hAnsi="Titillium"/>
                <w:i/>
                <w:sz w:val="18"/>
                <w:szCs w:val="18"/>
              </w:rPr>
              <w:t>territoriale</w:t>
            </w:r>
            <w:r w:rsidR="004F34BE">
              <w:rPr>
                <w:rFonts w:ascii="Titillium" w:hAnsi="Titillium"/>
                <w:i/>
                <w:sz w:val="18"/>
                <w:szCs w:val="18"/>
              </w:rPr>
              <w:t xml:space="preserve">, che </w:t>
            </w:r>
            <w:r w:rsidR="00902CAC">
              <w:rPr>
                <w:rFonts w:ascii="Titillium" w:hAnsi="Titillium"/>
                <w:i/>
                <w:sz w:val="18"/>
                <w:szCs w:val="18"/>
              </w:rPr>
              <w:t>limitano la possibilità per alcune imprese di operare fuori dai confini della licenza. In questi casi, non avrebbe senso imporre l’immutabilità del RTI per tutti i lotti territoriali.</w:t>
            </w:r>
          </w:p>
        </w:tc>
      </w:tr>
    </w:tbl>
    <w:p w14:paraId="77FEC211" w14:textId="77777777" w:rsidR="005104B1" w:rsidRDefault="005104B1" w:rsidP="005104B1">
      <w:pPr>
        <w:spacing w:before="60" w:after="60"/>
        <w:rPr>
          <w:rFonts w:ascii="Titillium" w:hAnsi="Titillium" w:cs="Calibri"/>
          <w:b/>
          <w:i/>
          <w:sz w:val="18"/>
          <w:szCs w:val="18"/>
        </w:rPr>
      </w:pPr>
    </w:p>
    <w:p w14:paraId="163D8985" w14:textId="77777777" w:rsidR="004C53A8" w:rsidRDefault="00870286">
      <w:pPr>
        <w:spacing w:before="60" w:after="60"/>
        <w:rPr>
          <w:rFonts w:ascii="Titillium" w:hAnsi="Titillium" w:cs="Courier New"/>
          <w:sz w:val="18"/>
          <w:szCs w:val="18"/>
        </w:rPr>
      </w:pPr>
      <w:r>
        <w:rPr>
          <w:rFonts w:ascii="Titillium" w:hAnsi="Titillium" w:cs="Courier New"/>
          <w:sz w:val="18"/>
          <w:szCs w:val="18"/>
        </w:rPr>
        <w:t>Le aggregazioni di retisti di cui all’articolo 45, comma 2 lettera f) del Codice, rispettano la disciplina prevista per i raggruppamenti temporanei in quanto compatibile. In particolare:</w:t>
      </w:r>
    </w:p>
    <w:p w14:paraId="51D160DF" w14:textId="493ED465"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87E35A2" w14:textId="21A28792"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 xml:space="preserve">nel caso in cui la rete sia dotata di organo comune con potere di rappresentanza ma priva di soggettività giuridica (cd. </w:t>
      </w:r>
      <w:r w:rsidR="00A118E5">
        <w:rPr>
          <w:rFonts w:ascii="Titillium" w:hAnsi="Titillium" w:cs="Courier New"/>
          <w:sz w:val="18"/>
          <w:szCs w:val="18"/>
        </w:rPr>
        <w:t>r</w:t>
      </w:r>
      <w:r>
        <w:rPr>
          <w:rFonts w:ascii="Titillium" w:hAnsi="Titillium" w:cs="Courier New"/>
          <w:sz w:val="18"/>
          <w:szCs w:val="18"/>
        </w:rPr>
        <w:t>ete</w:t>
      </w:r>
      <w:r w:rsidR="00A118E5">
        <w:rPr>
          <w:rFonts w:ascii="Titillium" w:hAnsi="Titillium" w:cs="Courier New"/>
          <w:sz w:val="18"/>
          <w:szCs w:val="18"/>
        </w:rPr>
        <w:t xml:space="preserve"> </w:t>
      </w:r>
      <w:r>
        <w:rPr>
          <w:rFonts w:ascii="Titillium" w:hAnsi="Titillium" w:cs="Courier New"/>
          <w:sz w:val="18"/>
          <w:szCs w:val="18"/>
        </w:rPr>
        <w:t>-</w:t>
      </w:r>
      <w:r w:rsidR="00A118E5">
        <w:rPr>
          <w:rFonts w:ascii="Titillium" w:hAnsi="Titillium" w:cs="Courier New"/>
          <w:sz w:val="18"/>
          <w:szCs w:val="18"/>
        </w:rPr>
        <w:t xml:space="preserve"> </w:t>
      </w:r>
      <w:r>
        <w:rPr>
          <w:rFonts w:ascii="Titillium" w:hAnsi="Titillium" w:cs="Courier New"/>
          <w:sz w:val="18"/>
          <w:szCs w:val="18"/>
        </w:rPr>
        <w:t xml:space="preserve">contratto), l’aggregazione di retisti partecipa a mezzo dell’organo comune, che assume il ruolo del </w:t>
      </w:r>
      <w:r>
        <w:rPr>
          <w:rFonts w:ascii="Titillium" w:hAnsi="Titillium" w:cs="Courier New"/>
          <w:sz w:val="18"/>
          <w:szCs w:val="18"/>
        </w:rPr>
        <w:lastRenderedPageBreak/>
        <w:t xml:space="preserve">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4CDC73E6" w14:textId="7738698A"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4057158C" w14:textId="08875279" w:rsidR="004C53A8" w:rsidRDefault="00870286">
      <w:pPr>
        <w:spacing w:before="60" w:after="60"/>
      </w:pPr>
      <w:r w:rsidRPr="00E7138C">
        <w:rPr>
          <w:rFonts w:ascii="Titillium" w:hAnsi="Titillium" w:cs="Courier New"/>
          <w:sz w:val="18"/>
          <w:szCs w:val="18"/>
        </w:rPr>
        <w:t>Per tutte le tipologie di rete,</w:t>
      </w:r>
      <w:r>
        <w:rPr>
          <w:rFonts w:ascii="Titillium" w:hAnsi="Titillium" w:cs="Courier New"/>
          <w:sz w:val="18"/>
          <w:szCs w:val="18"/>
        </w:rPr>
        <w:t xml:space="preserve"> la partecipazione congiunta alle gare deve risultare individuata nel contratto di rete come uno degli scopi strategici inclusi nel programma comune, mentre la durata dello stesso dovrà essere commisurata ai tempi</w:t>
      </w:r>
      <w:r w:rsidR="00A118E5">
        <w:rPr>
          <w:rFonts w:ascii="Titillium" w:hAnsi="Titillium" w:cs="Courier New"/>
          <w:sz w:val="18"/>
          <w:szCs w:val="18"/>
        </w:rPr>
        <w:t xml:space="preserve"> di realizzazione dell’appalto</w:t>
      </w:r>
      <w:r>
        <w:rPr>
          <w:rFonts w:ascii="Titillium" w:hAnsi="Titillium" w:cs="Courier New"/>
          <w:sz w:val="18"/>
          <w:szCs w:val="18"/>
        </w:rPr>
        <w:t>.</w:t>
      </w:r>
    </w:p>
    <w:p w14:paraId="67E27147" w14:textId="38F112AD" w:rsidR="004C53A8" w:rsidRDefault="00870286">
      <w:pPr>
        <w:spacing w:before="60" w:after="60"/>
        <w:rPr>
          <w:rFonts w:ascii="Titillium" w:hAnsi="Titillium" w:cs="Courier New"/>
          <w:sz w:val="18"/>
          <w:szCs w:val="18"/>
        </w:rPr>
      </w:pPr>
      <w:r>
        <w:rPr>
          <w:rFonts w:ascii="Titillium" w:hAnsi="Titillium" w:cs="Courier New"/>
          <w:sz w:val="18"/>
          <w:szCs w:val="18"/>
        </w:rPr>
        <w:t>Il ruolo di mandante/mandataria di un raggruppamento temporaneo può essere assunto anche da un consorzio di cui all’articolo 45, comma 1, lettera b), c) ovvero da una sub-associazione, nelle forme di un RTI o consorzio ordinario costituito oppure di un’aggregazioni di retisti. A tal fine, se la rete è dotata di organo comune con potere di rappresentanza (con o senza soggettività giuridica), tale organo assumerà la veste di mandatario della sub-associazione; se, invece, la rete è dotata di organo comune privo del potere di rappresentanza o è sprovvista di organo comune, il ruolo di mandatario della sub-associazione è conferito dai retisti partecipanti alla gara, mediante mandato, dando evidenza della ripartizione delle quote di partecipazione.</w:t>
      </w:r>
    </w:p>
    <w:p w14:paraId="75208D54" w14:textId="7E15BF7C" w:rsidR="004C53A8" w:rsidRDefault="00A118E5">
      <w:pPr>
        <w:spacing w:before="60" w:after="60"/>
      </w:pPr>
      <w:r>
        <w:rPr>
          <w:rFonts w:ascii="Titillium" w:hAnsi="Titillium" w:cs="Courier New"/>
          <w:sz w:val="18"/>
          <w:szCs w:val="18"/>
        </w:rPr>
        <w:t>L</w:t>
      </w:r>
      <w:r w:rsidR="00870286">
        <w:rPr>
          <w:rFonts w:ascii="Titillium" w:hAnsi="Titillium" w:cs="Courier New"/>
          <w:sz w:val="18"/>
          <w:szCs w:val="18"/>
        </w:rPr>
        <w:t>’impresa in concordato preventivo può concorrere anche riunita in raggruppamento temporaneo di imprese purché non rivesta la qualità di mandataria e sempre che le altre imprese aderenti al raggruppamento temporaneo di imprese non siano assoggettate ad una procedura concorsuale</w:t>
      </w:r>
      <w:r>
        <w:rPr>
          <w:rFonts w:ascii="Titillium" w:hAnsi="Titillium" w:cs="Courier New"/>
          <w:sz w:val="18"/>
          <w:szCs w:val="18"/>
        </w:rPr>
        <w:t>.</w:t>
      </w:r>
      <w:r w:rsidR="00870286">
        <w:rPr>
          <w:rFonts w:ascii="Titillium" w:hAnsi="Titillium" w:cs="Courier New"/>
          <w:sz w:val="18"/>
          <w:szCs w:val="18"/>
        </w:rPr>
        <w:t xml:space="preserve"> </w:t>
      </w:r>
    </w:p>
    <w:p w14:paraId="7CDAB5DD" w14:textId="74B28A0E" w:rsidR="004C53A8" w:rsidRDefault="00870286">
      <w:pPr>
        <w:spacing w:before="120" w:after="60"/>
      </w:pPr>
      <w:r w:rsidRPr="00D16350">
        <w:rPr>
          <w:rFonts w:ascii="Titillium" w:hAnsi="Titillium"/>
          <w:b/>
          <w:i/>
          <w:sz w:val="18"/>
          <w:szCs w:val="18"/>
        </w:rPr>
        <w:t>[</w:t>
      </w:r>
      <w:r>
        <w:rPr>
          <w:rFonts w:ascii="Titillium" w:hAnsi="Titillium"/>
          <w:b/>
          <w:i/>
          <w:sz w:val="18"/>
          <w:szCs w:val="18"/>
        </w:rPr>
        <w:t>Facoltativo: qualora la stazione appaltante richieda una forma giuridica specifica per i raggruppamenti]</w:t>
      </w:r>
      <w:r>
        <w:rPr>
          <w:rFonts w:ascii="Titillium" w:hAnsi="Titillium"/>
          <w:sz w:val="18"/>
          <w:szCs w:val="18"/>
        </w:rPr>
        <w:t xml:space="preserve"> </w:t>
      </w:r>
      <w:r>
        <w:rPr>
          <w:rFonts w:ascii="Titillium" w:hAnsi="Titillium" w:cs="Calibri"/>
          <w:sz w:val="18"/>
          <w:szCs w:val="18"/>
        </w:rPr>
        <w:t>I raggruppamenti di operatori economici, dopo l’aggiudicazione, devono assumere</w:t>
      </w:r>
      <w:r w:rsidR="00A118E5">
        <w:rPr>
          <w:rFonts w:ascii="Titillium" w:hAnsi="Titillium" w:cs="Calibri"/>
          <w:sz w:val="18"/>
          <w:szCs w:val="18"/>
        </w:rPr>
        <w:t xml:space="preserve"> </w:t>
      </w:r>
      <w:r>
        <w:rPr>
          <w:rFonts w:ascii="Titillium" w:hAnsi="Titillium" w:cs="Calibri"/>
          <w:sz w:val="18"/>
          <w:szCs w:val="18"/>
        </w:rPr>
        <w:t xml:space="preserve">la forma di ... [inserire la forma giuridica specifica]. </w:t>
      </w:r>
    </w:p>
    <w:p w14:paraId="6D7FE448" w14:textId="56D85D6C" w:rsidR="004C53A8" w:rsidRDefault="00870286">
      <w:pPr>
        <w:spacing w:before="120" w:after="60"/>
        <w:rPr>
          <w:rFonts w:ascii="Titillium" w:hAnsi="Titillium" w:cs="Calibri"/>
          <w:i/>
          <w:sz w:val="18"/>
          <w:szCs w:val="18"/>
        </w:rPr>
      </w:pPr>
      <w:r>
        <w:rPr>
          <w:rFonts w:ascii="Titillium" w:hAnsi="Titillium"/>
          <w:b/>
          <w:i/>
          <w:sz w:val="18"/>
          <w:szCs w:val="18"/>
        </w:rPr>
        <w:t>[Facoltativo: in caso di specifiche condizioni di esecuzione per i raggruppamenti]</w:t>
      </w:r>
      <w:r>
        <w:rPr>
          <w:rFonts w:ascii="Titillium" w:hAnsi="Titillium"/>
          <w:sz w:val="18"/>
          <w:szCs w:val="18"/>
        </w:rPr>
        <w:t xml:space="preserve"> </w:t>
      </w:r>
      <w:r>
        <w:rPr>
          <w:rFonts w:ascii="Titillium" w:hAnsi="Titillium" w:cs="Calibri"/>
          <w:sz w:val="18"/>
          <w:szCs w:val="18"/>
        </w:rPr>
        <w:t xml:space="preserve">I raggruppamenti di operatori economici, nell’esecuzione dell’appalto, devono rispettare le seguenti condizioni: …. </w:t>
      </w:r>
      <w:r>
        <w:rPr>
          <w:rFonts w:ascii="Titillium" w:hAnsi="Titillium" w:cs="Calibri"/>
          <w:i/>
          <w:sz w:val="18"/>
          <w:szCs w:val="18"/>
        </w:rPr>
        <w:t>[inserire le condizioni richieste che devono essere proporzionate e giustificate da ragioni oggettive].</w:t>
      </w:r>
    </w:p>
    <w:p w14:paraId="5E6587E1" w14:textId="77777777" w:rsidR="004C53A8" w:rsidRDefault="00870286">
      <w:pPr>
        <w:pStyle w:val="Titolo2"/>
        <w:numPr>
          <w:ilvl w:val="0"/>
          <w:numId w:val="4"/>
        </w:numPr>
        <w:ind w:left="357" w:hanging="357"/>
      </w:pPr>
      <w:bookmarkStart w:id="280" w:name="_Toc406058371"/>
      <w:bookmarkStart w:id="281" w:name="_Toc403471265"/>
      <w:bookmarkStart w:id="282" w:name="_Toc397422858"/>
      <w:bookmarkStart w:id="283" w:name="_Toc397346817"/>
      <w:bookmarkStart w:id="284" w:name="_Toc393706902"/>
      <w:bookmarkStart w:id="285" w:name="_Toc393700829"/>
      <w:bookmarkStart w:id="286" w:name="_Toc393283170"/>
      <w:bookmarkStart w:id="287" w:name="_Toc393272654"/>
      <w:bookmarkStart w:id="288" w:name="_Toc393272596"/>
      <w:bookmarkStart w:id="289" w:name="_Toc393187840"/>
      <w:bookmarkStart w:id="290" w:name="_Toc393112123"/>
      <w:bookmarkStart w:id="291" w:name="_Toc393110559"/>
      <w:bookmarkStart w:id="292" w:name="_Toc392577492"/>
      <w:bookmarkStart w:id="293" w:name="_Toc391036051"/>
      <w:bookmarkStart w:id="294" w:name="_Toc391035978"/>
      <w:bookmarkStart w:id="295" w:name="_Toc380501865"/>
      <w:bookmarkStart w:id="296" w:name="_Toc391036049"/>
      <w:bookmarkStart w:id="297" w:name="_Toc391035976"/>
      <w:bookmarkStart w:id="298" w:name="_Toc485218274"/>
      <w:bookmarkStart w:id="299" w:name="_Toc484688838"/>
      <w:bookmarkStart w:id="300" w:name="_Toc484688283"/>
      <w:bookmarkStart w:id="301" w:name="_Toc484605414"/>
      <w:bookmarkStart w:id="302" w:name="_Toc484605290"/>
      <w:bookmarkStart w:id="303" w:name="_Toc484526570"/>
      <w:bookmarkStart w:id="304" w:name="_Toc484449075"/>
      <w:bookmarkStart w:id="305" w:name="_Toc484448951"/>
      <w:bookmarkStart w:id="306" w:name="_Toc484448827"/>
      <w:bookmarkStart w:id="307" w:name="_Toc484448704"/>
      <w:bookmarkStart w:id="308" w:name="_Toc484448580"/>
      <w:bookmarkStart w:id="309" w:name="_Toc484448456"/>
      <w:bookmarkStart w:id="310" w:name="_Toc484448332"/>
      <w:bookmarkStart w:id="311" w:name="_Toc484448208"/>
      <w:bookmarkStart w:id="312" w:name="_Toc484448083"/>
      <w:bookmarkStart w:id="313" w:name="_Toc484440424"/>
      <w:bookmarkStart w:id="314" w:name="_Toc484440064"/>
      <w:bookmarkStart w:id="315" w:name="_Toc484439940"/>
      <w:bookmarkStart w:id="316" w:name="_Toc484439817"/>
      <w:bookmarkStart w:id="317" w:name="_Toc484438897"/>
      <w:bookmarkStart w:id="318" w:name="_Toc484438773"/>
      <w:bookmarkStart w:id="319" w:name="_Toc484438649"/>
      <w:bookmarkStart w:id="320" w:name="_Toc484429074"/>
      <w:bookmarkStart w:id="321" w:name="_Toc484428904"/>
      <w:bookmarkStart w:id="322" w:name="_Toc484097732"/>
      <w:bookmarkStart w:id="323" w:name="_Toc484011658"/>
      <w:bookmarkStart w:id="324" w:name="_Toc484011183"/>
      <w:bookmarkStart w:id="325" w:name="_Toc484011061"/>
      <w:bookmarkStart w:id="326" w:name="_Toc484010939"/>
      <w:bookmarkStart w:id="327" w:name="_Toc484010815"/>
      <w:bookmarkStart w:id="328" w:name="_Toc484010693"/>
      <w:bookmarkStart w:id="329" w:name="_Toc483906943"/>
      <w:bookmarkStart w:id="330" w:name="_Toc483571566"/>
      <w:bookmarkStart w:id="331" w:name="_Toc483571445"/>
      <w:bookmarkStart w:id="332" w:name="_Toc483474016"/>
      <w:bookmarkStart w:id="333" w:name="_Toc483401219"/>
      <w:bookmarkStart w:id="334" w:name="_Toc483325740"/>
      <w:bookmarkStart w:id="335" w:name="_Toc483316437"/>
      <w:bookmarkStart w:id="336" w:name="_Toc483316306"/>
      <w:bookmarkStart w:id="337" w:name="_Toc483316103"/>
      <w:bookmarkStart w:id="338" w:name="_Toc483315898"/>
      <w:bookmarkStart w:id="339" w:name="_Toc483302348"/>
      <w:bookmarkStart w:id="340" w:name="_Toc483233648"/>
      <w:bookmarkStart w:id="341" w:name="_Toc482979687"/>
      <w:bookmarkStart w:id="342" w:name="_Toc482979589"/>
      <w:bookmarkStart w:id="343" w:name="_Toc482979480"/>
      <w:bookmarkStart w:id="344" w:name="_Toc482979372"/>
      <w:bookmarkStart w:id="345" w:name="_Toc482979263"/>
      <w:bookmarkStart w:id="346" w:name="_Toc482979154"/>
      <w:bookmarkStart w:id="347" w:name="_Toc482979043"/>
      <w:bookmarkStart w:id="348" w:name="_Toc482978935"/>
      <w:bookmarkStart w:id="349" w:name="_Toc482978826"/>
      <w:bookmarkStart w:id="350" w:name="_Toc482959707"/>
      <w:bookmarkStart w:id="351" w:name="_Toc482959597"/>
      <w:bookmarkStart w:id="352" w:name="_Toc482959487"/>
      <w:bookmarkStart w:id="353" w:name="_Toc482712717"/>
      <w:bookmarkStart w:id="354" w:name="_Toc482641271"/>
      <w:bookmarkStart w:id="355" w:name="_Toc482633094"/>
      <w:bookmarkStart w:id="356" w:name="_Toc482352254"/>
      <w:bookmarkStart w:id="357" w:name="_Toc482352164"/>
      <w:bookmarkStart w:id="358" w:name="_Toc482352074"/>
      <w:bookmarkStart w:id="359" w:name="_Toc482351984"/>
      <w:bookmarkStart w:id="360" w:name="_Toc482102120"/>
      <w:bookmarkStart w:id="361" w:name="_Toc482102026"/>
      <w:bookmarkStart w:id="362" w:name="_Toc482101931"/>
      <w:bookmarkStart w:id="363" w:name="_Toc482101836"/>
      <w:bookmarkStart w:id="364" w:name="_Toc482101743"/>
      <w:bookmarkStart w:id="365" w:name="_Toc482101568"/>
      <w:bookmarkStart w:id="366" w:name="_Toc482101453"/>
      <w:bookmarkStart w:id="367" w:name="_Toc482101316"/>
      <w:bookmarkStart w:id="368" w:name="_Toc482100890"/>
      <w:bookmarkStart w:id="369" w:name="_Toc482100733"/>
      <w:bookmarkStart w:id="370" w:name="_Toc482099016"/>
      <w:bookmarkStart w:id="371" w:name="_Toc482097918"/>
      <w:bookmarkStart w:id="372" w:name="_Toc482097726"/>
      <w:bookmarkStart w:id="373" w:name="_Toc482097637"/>
      <w:bookmarkStart w:id="374" w:name="_Toc482097548"/>
      <w:bookmarkStart w:id="375" w:name="_Toc482025725"/>
      <w:bookmarkStart w:id="376" w:name="_Toc485218273"/>
      <w:bookmarkStart w:id="377" w:name="_Toc484688837"/>
      <w:bookmarkStart w:id="378" w:name="_Toc484688282"/>
      <w:bookmarkStart w:id="379" w:name="_Toc484605413"/>
      <w:bookmarkStart w:id="380" w:name="_Toc484605289"/>
      <w:bookmarkStart w:id="381" w:name="_Toc484526569"/>
      <w:bookmarkStart w:id="382" w:name="_Toc484449074"/>
      <w:bookmarkStart w:id="383" w:name="_Toc484448950"/>
      <w:bookmarkStart w:id="384" w:name="_Toc484448826"/>
      <w:bookmarkStart w:id="385" w:name="_Toc484448703"/>
      <w:bookmarkStart w:id="386" w:name="_Toc484448579"/>
      <w:bookmarkStart w:id="387" w:name="_Toc484448455"/>
      <w:bookmarkStart w:id="388" w:name="_Toc484448331"/>
      <w:bookmarkStart w:id="389" w:name="_Toc484448207"/>
      <w:bookmarkStart w:id="390" w:name="_Toc484448082"/>
      <w:bookmarkStart w:id="391" w:name="_Toc484440423"/>
      <w:bookmarkStart w:id="392" w:name="_Toc484440063"/>
      <w:bookmarkStart w:id="393" w:name="_Toc484439939"/>
      <w:bookmarkStart w:id="394" w:name="_Toc484439816"/>
      <w:bookmarkStart w:id="395" w:name="_Toc484438896"/>
      <w:bookmarkStart w:id="396" w:name="_Toc484438772"/>
      <w:bookmarkStart w:id="397" w:name="_Toc484438648"/>
      <w:bookmarkStart w:id="398" w:name="_Toc484429073"/>
      <w:bookmarkStart w:id="399" w:name="_Toc484428903"/>
      <w:bookmarkStart w:id="400" w:name="_Toc484097731"/>
      <w:bookmarkStart w:id="401" w:name="_Toc484011657"/>
      <w:bookmarkStart w:id="402" w:name="_Toc484011182"/>
      <w:bookmarkStart w:id="403" w:name="_Toc484011060"/>
      <w:bookmarkStart w:id="404" w:name="_Toc484010938"/>
      <w:bookmarkStart w:id="405" w:name="_Toc484010814"/>
      <w:bookmarkStart w:id="406" w:name="_Toc484010692"/>
      <w:bookmarkStart w:id="407" w:name="_Toc483906942"/>
      <w:bookmarkStart w:id="408" w:name="_Toc483571565"/>
      <w:bookmarkStart w:id="409" w:name="_Toc483571444"/>
      <w:bookmarkStart w:id="410" w:name="_Toc483474015"/>
      <w:bookmarkStart w:id="411" w:name="_Toc483401218"/>
      <w:bookmarkStart w:id="412" w:name="_Toc483325739"/>
      <w:bookmarkStart w:id="413" w:name="_Toc483316436"/>
      <w:bookmarkStart w:id="414" w:name="_Toc483316305"/>
      <w:bookmarkStart w:id="415" w:name="_Toc483316102"/>
      <w:bookmarkStart w:id="416" w:name="_Toc483315897"/>
      <w:bookmarkStart w:id="417" w:name="_Toc483302347"/>
      <w:bookmarkStart w:id="418" w:name="_Toc483233647"/>
      <w:bookmarkStart w:id="419" w:name="_Toc482979686"/>
      <w:bookmarkStart w:id="420" w:name="_Toc482979588"/>
      <w:bookmarkStart w:id="421" w:name="_Toc482979479"/>
      <w:bookmarkStart w:id="422" w:name="_Toc482979371"/>
      <w:bookmarkStart w:id="423" w:name="_Toc482979262"/>
      <w:bookmarkStart w:id="424" w:name="_Toc482979153"/>
      <w:bookmarkStart w:id="425" w:name="_Toc482979042"/>
      <w:bookmarkStart w:id="426" w:name="_Toc482978934"/>
      <w:bookmarkStart w:id="427" w:name="_Toc482978825"/>
      <w:bookmarkStart w:id="428" w:name="_Toc482959706"/>
      <w:bookmarkStart w:id="429" w:name="_Toc482959596"/>
      <w:bookmarkStart w:id="430" w:name="_Toc482959486"/>
      <w:bookmarkStart w:id="431" w:name="_Toc482712716"/>
      <w:bookmarkStart w:id="432" w:name="_Toc482641270"/>
      <w:bookmarkStart w:id="433" w:name="_Toc482633093"/>
      <w:bookmarkStart w:id="434" w:name="_Toc482352253"/>
      <w:bookmarkStart w:id="435" w:name="_Toc482352163"/>
      <w:bookmarkStart w:id="436" w:name="_Toc482352073"/>
      <w:bookmarkStart w:id="437" w:name="_Toc482351983"/>
      <w:bookmarkStart w:id="438" w:name="_Toc482102119"/>
      <w:bookmarkStart w:id="439" w:name="_Toc482102025"/>
      <w:bookmarkStart w:id="440" w:name="_Toc482101930"/>
      <w:bookmarkStart w:id="441" w:name="_Toc482101835"/>
      <w:bookmarkStart w:id="442" w:name="_Toc482101742"/>
      <w:bookmarkStart w:id="443" w:name="_Toc482101567"/>
      <w:bookmarkStart w:id="444" w:name="_Toc482101452"/>
      <w:bookmarkStart w:id="445" w:name="_Toc482101315"/>
      <w:bookmarkStart w:id="446" w:name="_Toc482100889"/>
      <w:bookmarkStart w:id="447" w:name="_Toc482100732"/>
      <w:bookmarkStart w:id="448" w:name="_Toc482099015"/>
      <w:bookmarkStart w:id="449" w:name="_Toc482097917"/>
      <w:bookmarkStart w:id="450" w:name="_Toc482097725"/>
      <w:bookmarkStart w:id="451" w:name="_Toc482097636"/>
      <w:bookmarkStart w:id="452" w:name="_Toc482097547"/>
      <w:bookmarkStart w:id="453" w:name="_Toc482025724"/>
      <w:bookmarkStart w:id="454" w:name="_Toc485218272"/>
      <w:bookmarkStart w:id="455" w:name="_Toc484688836"/>
      <w:bookmarkStart w:id="456" w:name="_Toc484688281"/>
      <w:bookmarkStart w:id="457" w:name="_Toc484605412"/>
      <w:bookmarkStart w:id="458" w:name="_Toc484605288"/>
      <w:bookmarkStart w:id="459" w:name="_Toc484526568"/>
      <w:bookmarkStart w:id="460" w:name="_Toc484449073"/>
      <w:bookmarkStart w:id="461" w:name="_Toc484448949"/>
      <w:bookmarkStart w:id="462" w:name="_Toc484448825"/>
      <w:bookmarkStart w:id="463" w:name="_Toc484448702"/>
      <w:bookmarkStart w:id="464" w:name="_Toc484448578"/>
      <w:bookmarkStart w:id="465" w:name="_Toc484448454"/>
      <w:bookmarkStart w:id="466" w:name="_Toc484448330"/>
      <w:bookmarkStart w:id="467" w:name="_Toc484448206"/>
      <w:bookmarkStart w:id="468" w:name="_Toc484448081"/>
      <w:bookmarkStart w:id="469" w:name="_Toc484440422"/>
      <w:bookmarkStart w:id="470" w:name="_Toc484440062"/>
      <w:bookmarkStart w:id="471" w:name="_Toc484439938"/>
      <w:bookmarkStart w:id="472" w:name="_Toc484439815"/>
      <w:bookmarkStart w:id="473" w:name="_Toc484438895"/>
      <w:bookmarkStart w:id="474" w:name="_Toc484438771"/>
      <w:bookmarkStart w:id="475" w:name="_Toc484438647"/>
      <w:bookmarkStart w:id="476" w:name="_Toc484429072"/>
      <w:bookmarkStart w:id="477" w:name="_Toc484428902"/>
      <w:bookmarkStart w:id="478" w:name="_Toc484097730"/>
      <w:bookmarkStart w:id="479" w:name="_Toc484011656"/>
      <w:bookmarkStart w:id="480" w:name="_Toc484011181"/>
      <w:bookmarkStart w:id="481" w:name="_Toc484011059"/>
      <w:bookmarkStart w:id="482" w:name="_Toc484010937"/>
      <w:bookmarkStart w:id="483" w:name="_Toc484010813"/>
      <w:bookmarkStart w:id="484" w:name="_Toc484010691"/>
      <w:bookmarkStart w:id="485" w:name="_Toc483906941"/>
      <w:bookmarkStart w:id="486" w:name="_Toc483571564"/>
      <w:bookmarkStart w:id="487" w:name="_Toc483571443"/>
      <w:bookmarkStart w:id="488" w:name="_Toc483474014"/>
      <w:bookmarkStart w:id="489" w:name="_Toc483401217"/>
      <w:bookmarkStart w:id="490" w:name="_Toc483325738"/>
      <w:bookmarkStart w:id="491" w:name="_Toc483316435"/>
      <w:bookmarkStart w:id="492" w:name="_Toc483316304"/>
      <w:bookmarkStart w:id="493" w:name="_Toc483316101"/>
      <w:bookmarkStart w:id="494" w:name="_Toc483315896"/>
      <w:bookmarkStart w:id="495" w:name="_Toc483302346"/>
      <w:bookmarkStart w:id="496" w:name="_Toc483233646"/>
      <w:bookmarkStart w:id="497" w:name="_Toc482979685"/>
      <w:bookmarkStart w:id="498" w:name="_Toc482979587"/>
      <w:bookmarkStart w:id="499" w:name="_Toc482979478"/>
      <w:bookmarkStart w:id="500" w:name="_Toc482979370"/>
      <w:bookmarkStart w:id="501" w:name="_Toc482979261"/>
      <w:bookmarkStart w:id="502" w:name="_Toc482979152"/>
      <w:bookmarkStart w:id="503" w:name="_Toc482979041"/>
      <w:bookmarkStart w:id="504" w:name="_Toc482978933"/>
      <w:bookmarkStart w:id="505" w:name="_Toc482978824"/>
      <w:bookmarkStart w:id="506" w:name="_Toc482959705"/>
      <w:bookmarkStart w:id="507" w:name="_Toc482959595"/>
      <w:bookmarkStart w:id="508" w:name="_Toc482959485"/>
      <w:bookmarkStart w:id="509" w:name="_Toc482712715"/>
      <w:bookmarkStart w:id="510" w:name="_Toc482641269"/>
      <w:bookmarkStart w:id="511" w:name="_Toc482633092"/>
      <w:bookmarkStart w:id="512" w:name="_Toc482352252"/>
      <w:bookmarkStart w:id="513" w:name="_Toc482352162"/>
      <w:bookmarkStart w:id="514" w:name="_Toc482352072"/>
      <w:bookmarkStart w:id="515" w:name="_Toc482351982"/>
      <w:bookmarkStart w:id="516" w:name="_Toc482102118"/>
      <w:bookmarkStart w:id="517" w:name="_Toc482102024"/>
      <w:bookmarkStart w:id="518" w:name="_Toc482101929"/>
      <w:bookmarkStart w:id="519" w:name="_Toc482101834"/>
      <w:bookmarkStart w:id="520" w:name="_Toc482101741"/>
      <w:bookmarkStart w:id="521" w:name="_Toc482101566"/>
      <w:bookmarkStart w:id="522" w:name="_Toc482101451"/>
      <w:bookmarkStart w:id="523" w:name="_Toc482101314"/>
      <w:bookmarkStart w:id="524" w:name="_Toc482100888"/>
      <w:bookmarkStart w:id="525" w:name="_Toc482100731"/>
      <w:bookmarkStart w:id="526" w:name="_Toc482099014"/>
      <w:bookmarkStart w:id="527" w:name="_Toc482097916"/>
      <w:bookmarkStart w:id="528" w:name="_Toc482097724"/>
      <w:bookmarkStart w:id="529" w:name="_Toc482097635"/>
      <w:bookmarkStart w:id="530" w:name="_Toc482097546"/>
      <w:bookmarkStart w:id="531" w:name="_Toc482025723"/>
      <w:bookmarkStart w:id="532" w:name="_Toc485218271"/>
      <w:bookmarkStart w:id="533" w:name="_Toc484688835"/>
      <w:bookmarkStart w:id="534" w:name="_Toc484688280"/>
      <w:bookmarkStart w:id="535" w:name="_Toc484605411"/>
      <w:bookmarkStart w:id="536" w:name="_Toc484605287"/>
      <w:bookmarkStart w:id="537" w:name="_Toc484526567"/>
      <w:bookmarkStart w:id="538" w:name="_Toc484449072"/>
      <w:bookmarkStart w:id="539" w:name="_Toc484448948"/>
      <w:bookmarkStart w:id="540" w:name="_Toc484448824"/>
      <w:bookmarkStart w:id="541" w:name="_Toc484448701"/>
      <w:bookmarkStart w:id="542" w:name="_Toc484448577"/>
      <w:bookmarkStart w:id="543" w:name="_Toc484448453"/>
      <w:bookmarkStart w:id="544" w:name="_Toc484448329"/>
      <w:bookmarkStart w:id="545" w:name="_Toc484448205"/>
      <w:bookmarkStart w:id="546" w:name="_Toc484448080"/>
      <w:bookmarkStart w:id="547" w:name="_Toc484440421"/>
      <w:bookmarkStart w:id="548" w:name="_Toc484440061"/>
      <w:bookmarkStart w:id="549" w:name="_Toc484439937"/>
      <w:bookmarkStart w:id="550" w:name="_Toc484439814"/>
      <w:bookmarkStart w:id="551" w:name="_Toc484438894"/>
      <w:bookmarkStart w:id="552" w:name="_Toc484438770"/>
      <w:bookmarkStart w:id="553" w:name="_Toc484438646"/>
      <w:bookmarkStart w:id="554" w:name="_Toc484429071"/>
      <w:bookmarkStart w:id="555" w:name="_Toc484428901"/>
      <w:bookmarkStart w:id="556" w:name="_Toc484097729"/>
      <w:bookmarkStart w:id="557" w:name="_Toc484011655"/>
      <w:bookmarkStart w:id="558" w:name="_Toc484011180"/>
      <w:bookmarkStart w:id="559" w:name="_Toc484011058"/>
      <w:bookmarkStart w:id="560" w:name="_Toc484010936"/>
      <w:bookmarkStart w:id="561" w:name="_Toc484010812"/>
      <w:bookmarkStart w:id="562" w:name="_Toc484010690"/>
      <w:bookmarkStart w:id="563" w:name="_Toc483906940"/>
      <w:bookmarkStart w:id="564" w:name="_Toc483571563"/>
      <w:bookmarkStart w:id="565" w:name="_Toc483571442"/>
      <w:bookmarkStart w:id="566" w:name="_Toc483474013"/>
      <w:bookmarkStart w:id="567" w:name="_Toc483401216"/>
      <w:bookmarkStart w:id="568" w:name="_Toc483325737"/>
      <w:bookmarkStart w:id="569" w:name="_Toc483316434"/>
      <w:bookmarkStart w:id="570" w:name="_Toc483316303"/>
      <w:bookmarkStart w:id="571" w:name="_Toc483316100"/>
      <w:bookmarkStart w:id="572" w:name="_Toc483315895"/>
      <w:bookmarkStart w:id="573" w:name="_Toc483302345"/>
      <w:bookmarkStart w:id="574" w:name="_Toc483233645"/>
      <w:bookmarkStart w:id="575" w:name="_Toc482979684"/>
      <w:bookmarkStart w:id="576" w:name="_Toc482979586"/>
      <w:bookmarkStart w:id="577" w:name="_Toc482979477"/>
      <w:bookmarkStart w:id="578" w:name="_Toc482979369"/>
      <w:bookmarkStart w:id="579" w:name="_Toc482979260"/>
      <w:bookmarkStart w:id="580" w:name="_Toc482979151"/>
      <w:bookmarkStart w:id="581" w:name="_Toc482979040"/>
      <w:bookmarkStart w:id="582" w:name="_Toc482978932"/>
      <w:bookmarkStart w:id="583" w:name="_Toc482978823"/>
      <w:bookmarkStart w:id="584" w:name="_Toc482959704"/>
      <w:bookmarkStart w:id="585" w:name="_Toc482959594"/>
      <w:bookmarkStart w:id="586" w:name="_Toc482959484"/>
      <w:bookmarkStart w:id="587" w:name="_Toc482712714"/>
      <w:bookmarkStart w:id="588" w:name="_Toc482641268"/>
      <w:bookmarkStart w:id="589" w:name="_Toc482633091"/>
      <w:bookmarkStart w:id="590" w:name="_Toc482352251"/>
      <w:bookmarkStart w:id="591" w:name="_Toc482352161"/>
      <w:bookmarkStart w:id="592" w:name="_Toc482352071"/>
      <w:bookmarkStart w:id="593" w:name="_Toc482351981"/>
      <w:bookmarkStart w:id="594" w:name="_Toc482102117"/>
      <w:bookmarkStart w:id="595" w:name="_Toc482102023"/>
      <w:bookmarkStart w:id="596" w:name="_Toc482101928"/>
      <w:bookmarkStart w:id="597" w:name="_Toc482101833"/>
      <w:bookmarkStart w:id="598" w:name="_Toc482101740"/>
      <w:bookmarkStart w:id="599" w:name="_Toc482101565"/>
      <w:bookmarkStart w:id="600" w:name="_Toc482101450"/>
      <w:bookmarkStart w:id="601" w:name="_Toc482101313"/>
      <w:bookmarkStart w:id="602" w:name="_Toc482100887"/>
      <w:bookmarkStart w:id="603" w:name="_Toc482100730"/>
      <w:bookmarkStart w:id="604" w:name="_Toc482099013"/>
      <w:bookmarkStart w:id="605" w:name="_Toc482097915"/>
      <w:bookmarkStart w:id="606" w:name="_Toc482097723"/>
      <w:bookmarkStart w:id="607" w:name="_Toc482097634"/>
      <w:bookmarkStart w:id="608" w:name="_Toc482097545"/>
      <w:bookmarkStart w:id="609" w:name="_Toc482025722"/>
      <w:bookmarkStart w:id="610" w:name="_Toc485218270"/>
      <w:bookmarkStart w:id="611" w:name="_Toc484688834"/>
      <w:bookmarkStart w:id="612" w:name="_Toc484688279"/>
      <w:bookmarkStart w:id="613" w:name="_Toc484605410"/>
      <w:bookmarkStart w:id="614" w:name="_Toc484605286"/>
      <w:bookmarkStart w:id="615" w:name="_Toc484526566"/>
      <w:bookmarkStart w:id="616" w:name="_Toc484449071"/>
      <w:bookmarkStart w:id="617" w:name="_Toc484448947"/>
      <w:bookmarkStart w:id="618" w:name="_Toc484448823"/>
      <w:bookmarkStart w:id="619" w:name="_Toc484448700"/>
      <w:bookmarkStart w:id="620" w:name="_Toc484448576"/>
      <w:bookmarkStart w:id="621" w:name="_Toc484448452"/>
      <w:bookmarkStart w:id="622" w:name="_Toc484448328"/>
      <w:bookmarkStart w:id="623" w:name="_Toc484448204"/>
      <w:bookmarkStart w:id="624" w:name="_Toc484448079"/>
      <w:bookmarkStart w:id="625" w:name="_Toc484440420"/>
      <w:bookmarkStart w:id="626" w:name="_Toc484440060"/>
      <w:bookmarkStart w:id="627" w:name="_Toc484439936"/>
      <w:bookmarkStart w:id="628" w:name="_Toc484439813"/>
      <w:bookmarkStart w:id="629" w:name="_Toc484438893"/>
      <w:bookmarkStart w:id="630" w:name="_Toc484438769"/>
      <w:bookmarkStart w:id="631" w:name="_Toc484438645"/>
      <w:bookmarkStart w:id="632" w:name="_Toc484429070"/>
      <w:bookmarkStart w:id="633" w:name="_Toc484428900"/>
      <w:bookmarkStart w:id="634" w:name="_Toc484097728"/>
      <w:bookmarkStart w:id="635" w:name="_Toc484011654"/>
      <w:bookmarkStart w:id="636" w:name="_Toc484011179"/>
      <w:bookmarkStart w:id="637" w:name="_Toc484011057"/>
      <w:bookmarkStart w:id="638" w:name="_Toc484010935"/>
      <w:bookmarkStart w:id="639" w:name="_Toc484010811"/>
      <w:bookmarkStart w:id="640" w:name="_Toc484010689"/>
      <w:bookmarkStart w:id="641" w:name="_Toc483906939"/>
      <w:bookmarkStart w:id="642" w:name="_Toc483571562"/>
      <w:bookmarkStart w:id="643" w:name="_Toc483571441"/>
      <w:bookmarkStart w:id="644" w:name="_Toc483474012"/>
      <w:bookmarkStart w:id="645" w:name="_Toc483401215"/>
      <w:bookmarkStart w:id="646" w:name="_Toc483325736"/>
      <w:bookmarkStart w:id="647" w:name="_Toc483316433"/>
      <w:bookmarkStart w:id="648" w:name="_Toc483316302"/>
      <w:bookmarkStart w:id="649" w:name="_Toc483316099"/>
      <w:bookmarkStart w:id="650" w:name="_Toc483315894"/>
      <w:bookmarkStart w:id="651" w:name="_Toc483302344"/>
      <w:bookmarkStart w:id="652" w:name="_Toc483233644"/>
      <w:bookmarkStart w:id="653" w:name="_Toc482979683"/>
      <w:bookmarkStart w:id="654" w:name="_Toc482979585"/>
      <w:bookmarkStart w:id="655" w:name="_Toc482979476"/>
      <w:bookmarkStart w:id="656" w:name="_Toc482979368"/>
      <w:bookmarkStart w:id="657" w:name="_Toc482979259"/>
      <w:bookmarkStart w:id="658" w:name="_Toc482979150"/>
      <w:bookmarkStart w:id="659" w:name="_Toc482979039"/>
      <w:bookmarkStart w:id="660" w:name="_Toc482978931"/>
      <w:bookmarkStart w:id="661" w:name="_Toc482978822"/>
      <w:bookmarkStart w:id="662" w:name="_Toc482959703"/>
      <w:bookmarkStart w:id="663" w:name="_Toc482959593"/>
      <w:bookmarkStart w:id="664" w:name="_Toc482959483"/>
      <w:bookmarkStart w:id="665" w:name="_Toc482712713"/>
      <w:bookmarkStart w:id="666" w:name="_Toc482641267"/>
      <w:bookmarkStart w:id="667" w:name="_Toc482633090"/>
      <w:bookmarkStart w:id="668" w:name="_Toc482352250"/>
      <w:bookmarkStart w:id="669" w:name="_Toc482352160"/>
      <w:bookmarkStart w:id="670" w:name="_Toc482352070"/>
      <w:bookmarkStart w:id="671" w:name="_Toc482351980"/>
      <w:bookmarkStart w:id="672" w:name="_Toc482102116"/>
      <w:bookmarkStart w:id="673" w:name="_Toc482102022"/>
      <w:bookmarkStart w:id="674" w:name="_Toc482101927"/>
      <w:bookmarkStart w:id="675" w:name="_Toc482101832"/>
      <w:bookmarkStart w:id="676" w:name="_Toc482101739"/>
      <w:bookmarkStart w:id="677" w:name="_Toc482101564"/>
      <w:bookmarkStart w:id="678" w:name="_Toc482101449"/>
      <w:bookmarkStart w:id="679" w:name="_Toc482101312"/>
      <w:bookmarkStart w:id="680" w:name="_Toc482100886"/>
      <w:bookmarkStart w:id="681" w:name="_Toc482100729"/>
      <w:bookmarkStart w:id="682" w:name="_Toc482099012"/>
      <w:bookmarkStart w:id="683" w:name="_Toc482097914"/>
      <w:bookmarkStart w:id="684" w:name="_Toc482097722"/>
      <w:bookmarkStart w:id="685" w:name="_Toc482097633"/>
      <w:bookmarkStart w:id="686" w:name="_Toc482097544"/>
      <w:bookmarkStart w:id="687" w:name="_Toc482025721"/>
      <w:bookmarkStart w:id="688" w:name="_Toc485218269"/>
      <w:bookmarkStart w:id="689" w:name="_Toc484688833"/>
      <w:bookmarkStart w:id="690" w:name="_Toc484688278"/>
      <w:bookmarkStart w:id="691" w:name="_Toc484605409"/>
      <w:bookmarkStart w:id="692" w:name="_Toc484605285"/>
      <w:bookmarkStart w:id="693" w:name="_Toc484526565"/>
      <w:bookmarkStart w:id="694" w:name="_Toc484449070"/>
      <w:bookmarkStart w:id="695" w:name="_Toc484448946"/>
      <w:bookmarkStart w:id="696" w:name="_Toc484448822"/>
      <w:bookmarkStart w:id="697" w:name="_Toc484448699"/>
      <w:bookmarkStart w:id="698" w:name="_Toc484448575"/>
      <w:bookmarkStart w:id="699" w:name="_Toc484448451"/>
      <w:bookmarkStart w:id="700" w:name="_Toc484448327"/>
      <w:bookmarkStart w:id="701" w:name="_Toc484448203"/>
      <w:bookmarkStart w:id="702" w:name="_Toc484448078"/>
      <w:bookmarkStart w:id="703" w:name="_Toc484440419"/>
      <w:bookmarkStart w:id="704" w:name="_Toc484440059"/>
      <w:bookmarkStart w:id="705" w:name="_Toc484439935"/>
      <w:bookmarkStart w:id="706" w:name="_Toc484439812"/>
      <w:bookmarkStart w:id="707" w:name="_Toc484438892"/>
      <w:bookmarkStart w:id="708" w:name="_Toc484438768"/>
      <w:bookmarkStart w:id="709" w:name="_Toc484438644"/>
      <w:bookmarkStart w:id="710" w:name="_Toc484429069"/>
      <w:bookmarkStart w:id="711" w:name="_Toc484428899"/>
      <w:bookmarkStart w:id="712" w:name="_Toc484097727"/>
      <w:bookmarkStart w:id="713" w:name="_Toc484011653"/>
      <w:bookmarkStart w:id="714" w:name="_Toc484011178"/>
      <w:bookmarkStart w:id="715" w:name="_Toc484011056"/>
      <w:bookmarkStart w:id="716" w:name="_Toc484010934"/>
      <w:bookmarkStart w:id="717" w:name="_Toc484010810"/>
      <w:bookmarkStart w:id="718" w:name="_Toc484010688"/>
      <w:bookmarkStart w:id="719" w:name="_Toc483906938"/>
      <w:bookmarkStart w:id="720" w:name="_Toc483571561"/>
      <w:bookmarkStart w:id="721" w:name="_Toc483571440"/>
      <w:bookmarkStart w:id="722" w:name="_Toc483474011"/>
      <w:bookmarkStart w:id="723" w:name="_Toc483401214"/>
      <w:bookmarkStart w:id="724" w:name="_Toc483325735"/>
      <w:bookmarkStart w:id="725" w:name="_Toc483316432"/>
      <w:bookmarkStart w:id="726" w:name="_Toc483316301"/>
      <w:bookmarkStart w:id="727" w:name="_Toc483316098"/>
      <w:bookmarkStart w:id="728" w:name="_Toc483315893"/>
      <w:bookmarkStart w:id="729" w:name="_Toc483302343"/>
      <w:bookmarkStart w:id="730" w:name="_Toc483233643"/>
      <w:bookmarkStart w:id="731" w:name="_Toc482979682"/>
      <w:bookmarkStart w:id="732" w:name="_Toc482979584"/>
      <w:bookmarkStart w:id="733" w:name="_Toc482979475"/>
      <w:bookmarkStart w:id="734" w:name="_Toc482979367"/>
      <w:bookmarkStart w:id="735" w:name="_Toc482979258"/>
      <w:bookmarkStart w:id="736" w:name="_Toc482979149"/>
      <w:bookmarkStart w:id="737" w:name="_Toc482979038"/>
      <w:bookmarkStart w:id="738" w:name="_Toc482978930"/>
      <w:bookmarkStart w:id="739" w:name="_Toc482978821"/>
      <w:bookmarkStart w:id="740" w:name="_Toc482959702"/>
      <w:bookmarkStart w:id="741" w:name="_Toc482959592"/>
      <w:bookmarkStart w:id="742" w:name="_Toc482959482"/>
      <w:bookmarkStart w:id="743" w:name="_Toc482712712"/>
      <w:bookmarkStart w:id="744" w:name="_Toc482641266"/>
      <w:bookmarkStart w:id="745" w:name="_Toc482633089"/>
      <w:bookmarkStart w:id="746" w:name="_Toc482352249"/>
      <w:bookmarkStart w:id="747" w:name="_Toc482352159"/>
      <w:bookmarkStart w:id="748" w:name="_Toc482352069"/>
      <w:bookmarkStart w:id="749" w:name="_Toc482351979"/>
      <w:bookmarkStart w:id="750" w:name="_Toc482102115"/>
      <w:bookmarkStart w:id="751" w:name="_Toc482102021"/>
      <w:bookmarkStart w:id="752" w:name="_Toc482101926"/>
      <w:bookmarkStart w:id="753" w:name="_Toc482101831"/>
      <w:bookmarkStart w:id="754" w:name="_Toc482101738"/>
      <w:bookmarkStart w:id="755" w:name="_Toc482101563"/>
      <w:bookmarkStart w:id="756" w:name="_Toc482101448"/>
      <w:bookmarkStart w:id="757" w:name="_Toc482101311"/>
      <w:bookmarkStart w:id="758" w:name="_Toc482100885"/>
      <w:bookmarkStart w:id="759" w:name="_Toc482100728"/>
      <w:bookmarkStart w:id="760" w:name="_Toc482099011"/>
      <w:bookmarkStart w:id="761" w:name="_Toc482097913"/>
      <w:bookmarkStart w:id="762" w:name="_Toc482097721"/>
      <w:bookmarkStart w:id="763" w:name="_Toc482097632"/>
      <w:bookmarkStart w:id="764" w:name="_Toc482097543"/>
      <w:bookmarkStart w:id="765" w:name="_Toc482025720"/>
      <w:bookmarkStart w:id="766" w:name="_Toc485218268"/>
      <w:bookmarkStart w:id="767" w:name="_Toc484688832"/>
      <w:bookmarkStart w:id="768" w:name="_Toc484688277"/>
      <w:bookmarkStart w:id="769" w:name="_Toc484605408"/>
      <w:bookmarkStart w:id="770" w:name="_Toc484605284"/>
      <w:bookmarkStart w:id="771" w:name="_Toc484526564"/>
      <w:bookmarkStart w:id="772" w:name="_Toc484449069"/>
      <w:bookmarkStart w:id="773" w:name="_Toc484448945"/>
      <w:bookmarkStart w:id="774" w:name="_Toc484448821"/>
      <w:bookmarkStart w:id="775" w:name="_Toc484448698"/>
      <w:bookmarkStart w:id="776" w:name="_Toc484448574"/>
      <w:bookmarkStart w:id="777" w:name="_Toc484448450"/>
      <w:bookmarkStart w:id="778" w:name="_Toc484448326"/>
      <w:bookmarkStart w:id="779" w:name="_Toc484448202"/>
      <w:bookmarkStart w:id="780" w:name="_Toc484448077"/>
      <w:bookmarkStart w:id="781" w:name="_Toc484440418"/>
      <w:bookmarkStart w:id="782" w:name="_Toc484440058"/>
      <w:bookmarkStart w:id="783" w:name="_Toc484439934"/>
      <w:bookmarkStart w:id="784" w:name="_Toc484439811"/>
      <w:bookmarkStart w:id="785" w:name="_Toc484438891"/>
      <w:bookmarkStart w:id="786" w:name="_Toc484438767"/>
      <w:bookmarkStart w:id="787" w:name="_Toc484438643"/>
      <w:bookmarkStart w:id="788" w:name="_Toc484429068"/>
      <w:bookmarkStart w:id="789" w:name="_Toc484428898"/>
      <w:bookmarkStart w:id="790" w:name="_Toc484097726"/>
      <w:bookmarkStart w:id="791" w:name="_Toc484011652"/>
      <w:bookmarkStart w:id="792" w:name="_Toc484011177"/>
      <w:bookmarkStart w:id="793" w:name="_Toc484011055"/>
      <w:bookmarkStart w:id="794" w:name="_Toc484010933"/>
      <w:bookmarkStart w:id="795" w:name="_Toc484010809"/>
      <w:bookmarkStart w:id="796" w:name="_Toc484010687"/>
      <w:bookmarkStart w:id="797" w:name="_Toc483906937"/>
      <w:bookmarkStart w:id="798" w:name="_Toc483571560"/>
      <w:bookmarkStart w:id="799" w:name="_Toc483571439"/>
      <w:bookmarkStart w:id="800" w:name="_Toc483474010"/>
      <w:bookmarkStart w:id="801" w:name="_Toc483401213"/>
      <w:bookmarkStart w:id="802" w:name="_Toc483325734"/>
      <w:bookmarkStart w:id="803" w:name="_Toc483316431"/>
      <w:bookmarkStart w:id="804" w:name="_Toc483316300"/>
      <w:bookmarkStart w:id="805" w:name="_Toc483316097"/>
      <w:bookmarkStart w:id="806" w:name="_Toc483315892"/>
      <w:bookmarkStart w:id="807" w:name="_Toc483302342"/>
      <w:bookmarkStart w:id="808" w:name="_Toc483233642"/>
      <w:bookmarkStart w:id="809" w:name="_Toc482979681"/>
      <w:bookmarkStart w:id="810" w:name="_Toc482979583"/>
      <w:bookmarkStart w:id="811" w:name="_Toc482979474"/>
      <w:bookmarkStart w:id="812" w:name="_Toc482979366"/>
      <w:bookmarkStart w:id="813" w:name="_Toc482979257"/>
      <w:bookmarkStart w:id="814" w:name="_Toc482979148"/>
      <w:bookmarkStart w:id="815" w:name="_Toc482979037"/>
      <w:bookmarkStart w:id="816" w:name="_Toc482978929"/>
      <w:bookmarkStart w:id="817" w:name="_Toc482978820"/>
      <w:bookmarkStart w:id="818" w:name="_Toc482959701"/>
      <w:bookmarkStart w:id="819" w:name="_Toc482959591"/>
      <w:bookmarkStart w:id="820" w:name="_Toc482959481"/>
      <w:bookmarkStart w:id="821" w:name="_Toc482712711"/>
      <w:bookmarkStart w:id="822" w:name="_Toc482641265"/>
      <w:bookmarkStart w:id="823" w:name="_Toc482633088"/>
      <w:bookmarkStart w:id="824" w:name="_Toc482352248"/>
      <w:bookmarkStart w:id="825" w:name="_Toc482352158"/>
      <w:bookmarkStart w:id="826" w:name="_Toc482352068"/>
      <w:bookmarkStart w:id="827" w:name="_Toc482351978"/>
      <w:bookmarkStart w:id="828" w:name="_Toc482102114"/>
      <w:bookmarkStart w:id="829" w:name="_Toc482102020"/>
      <w:bookmarkStart w:id="830" w:name="_Toc482101925"/>
      <w:bookmarkStart w:id="831" w:name="_Toc482101830"/>
      <w:bookmarkStart w:id="832" w:name="_Toc482101737"/>
      <w:bookmarkStart w:id="833" w:name="_Toc482101562"/>
      <w:bookmarkStart w:id="834" w:name="_Toc482101447"/>
      <w:bookmarkStart w:id="835" w:name="_Toc482101310"/>
      <w:bookmarkStart w:id="836" w:name="_Toc482100884"/>
      <w:bookmarkStart w:id="837" w:name="_Toc482100727"/>
      <w:bookmarkStart w:id="838" w:name="_Toc482099010"/>
      <w:bookmarkStart w:id="839" w:name="_Toc482097912"/>
      <w:bookmarkStart w:id="840" w:name="_Toc482097720"/>
      <w:bookmarkStart w:id="841" w:name="_Toc482097631"/>
      <w:bookmarkStart w:id="842" w:name="_Toc482097542"/>
      <w:bookmarkStart w:id="843" w:name="_Toc482025719"/>
      <w:bookmarkStart w:id="844" w:name="_Toc485218267"/>
      <w:bookmarkStart w:id="845" w:name="_Toc484688831"/>
      <w:bookmarkStart w:id="846" w:name="_Toc484688276"/>
      <w:bookmarkStart w:id="847" w:name="_Toc484605407"/>
      <w:bookmarkStart w:id="848" w:name="_Toc484605283"/>
      <w:bookmarkStart w:id="849" w:name="_Toc484526563"/>
      <w:bookmarkStart w:id="850" w:name="_Toc484449068"/>
      <w:bookmarkStart w:id="851" w:name="_Toc484448944"/>
      <w:bookmarkStart w:id="852" w:name="_Toc484448820"/>
      <w:bookmarkStart w:id="853" w:name="_Toc484448697"/>
      <w:bookmarkStart w:id="854" w:name="_Toc484448573"/>
      <w:bookmarkStart w:id="855" w:name="_Toc484448449"/>
      <w:bookmarkStart w:id="856" w:name="_Toc484448325"/>
      <w:bookmarkStart w:id="857" w:name="_Toc484448201"/>
      <w:bookmarkStart w:id="858" w:name="_Toc484448076"/>
      <w:bookmarkStart w:id="859" w:name="_Toc484440417"/>
      <w:bookmarkStart w:id="860" w:name="_Toc484440057"/>
      <w:bookmarkStart w:id="861" w:name="_Toc484439933"/>
      <w:bookmarkStart w:id="862" w:name="_Toc484439810"/>
      <w:bookmarkStart w:id="863" w:name="_Toc484438890"/>
      <w:bookmarkStart w:id="864" w:name="_Toc484438766"/>
      <w:bookmarkStart w:id="865" w:name="_Toc484438642"/>
      <w:bookmarkStart w:id="866" w:name="_Toc484429067"/>
      <w:bookmarkStart w:id="867" w:name="_Toc484428897"/>
      <w:bookmarkStart w:id="868" w:name="_Toc484097725"/>
      <w:bookmarkStart w:id="869" w:name="_Toc484011651"/>
      <w:bookmarkStart w:id="870" w:name="_Toc484011176"/>
      <w:bookmarkStart w:id="871" w:name="_Toc484011054"/>
      <w:bookmarkStart w:id="872" w:name="_Toc484010932"/>
      <w:bookmarkStart w:id="873" w:name="_Toc484010808"/>
      <w:bookmarkStart w:id="874" w:name="_Toc484010686"/>
      <w:bookmarkStart w:id="875" w:name="_Toc483906936"/>
      <w:bookmarkStart w:id="876" w:name="_Toc483571559"/>
      <w:bookmarkStart w:id="877" w:name="_Toc483571438"/>
      <w:bookmarkStart w:id="878" w:name="_Toc483474009"/>
      <w:bookmarkStart w:id="879" w:name="_Toc483401212"/>
      <w:bookmarkStart w:id="880" w:name="_Toc483325733"/>
      <w:bookmarkStart w:id="881" w:name="_Toc483316430"/>
      <w:bookmarkStart w:id="882" w:name="_Toc483316299"/>
      <w:bookmarkStart w:id="883" w:name="_Toc483316096"/>
      <w:bookmarkStart w:id="884" w:name="_Toc483315891"/>
      <w:bookmarkStart w:id="885" w:name="_Toc483302341"/>
      <w:bookmarkStart w:id="886" w:name="_Toc483233641"/>
      <w:bookmarkStart w:id="887" w:name="_Toc482979680"/>
      <w:bookmarkStart w:id="888" w:name="_Toc482979582"/>
      <w:bookmarkStart w:id="889" w:name="_Toc482979473"/>
      <w:bookmarkStart w:id="890" w:name="_Toc482979365"/>
      <w:bookmarkStart w:id="891" w:name="_Toc482979256"/>
      <w:bookmarkStart w:id="892" w:name="_Toc482979147"/>
      <w:bookmarkStart w:id="893" w:name="_Toc482979036"/>
      <w:bookmarkStart w:id="894" w:name="_Toc482978928"/>
      <w:bookmarkStart w:id="895" w:name="_Toc482978819"/>
      <w:bookmarkStart w:id="896" w:name="_Toc482959700"/>
      <w:bookmarkStart w:id="897" w:name="_Toc482959590"/>
      <w:bookmarkStart w:id="898" w:name="_Toc482959480"/>
      <w:bookmarkStart w:id="899" w:name="_Toc482712710"/>
      <w:bookmarkStart w:id="900" w:name="_Toc482641264"/>
      <w:bookmarkStart w:id="901" w:name="_Toc482633087"/>
      <w:bookmarkStart w:id="902" w:name="_Toc482352247"/>
      <w:bookmarkStart w:id="903" w:name="_Toc482352157"/>
      <w:bookmarkStart w:id="904" w:name="_Toc482352067"/>
      <w:bookmarkStart w:id="905" w:name="_Toc482351977"/>
      <w:bookmarkStart w:id="906" w:name="_Toc482102113"/>
      <w:bookmarkStart w:id="907" w:name="_Toc482102019"/>
      <w:bookmarkStart w:id="908" w:name="_Toc482101924"/>
      <w:bookmarkStart w:id="909" w:name="_Toc482101829"/>
      <w:bookmarkStart w:id="910" w:name="_Toc482101736"/>
      <w:bookmarkStart w:id="911" w:name="_Toc482101561"/>
      <w:bookmarkStart w:id="912" w:name="_Toc482101446"/>
      <w:bookmarkStart w:id="913" w:name="_Toc482101309"/>
      <w:bookmarkStart w:id="914" w:name="_Toc482100883"/>
      <w:bookmarkStart w:id="915" w:name="_Toc482100726"/>
      <w:bookmarkStart w:id="916" w:name="_Toc482099009"/>
      <w:bookmarkStart w:id="917" w:name="_Toc482097911"/>
      <w:bookmarkStart w:id="918" w:name="_Toc482097719"/>
      <w:bookmarkStart w:id="919" w:name="_Toc482097630"/>
      <w:bookmarkStart w:id="920" w:name="_Toc482097541"/>
      <w:bookmarkStart w:id="921" w:name="_Toc482025718"/>
      <w:bookmarkStart w:id="922" w:name="_Toc485218266"/>
      <w:bookmarkStart w:id="923" w:name="_Toc484688830"/>
      <w:bookmarkStart w:id="924" w:name="_Toc484688275"/>
      <w:bookmarkStart w:id="925" w:name="_Toc484605406"/>
      <w:bookmarkStart w:id="926" w:name="_Toc484605282"/>
      <w:bookmarkStart w:id="927" w:name="_Toc484526562"/>
      <w:bookmarkStart w:id="928" w:name="_Toc484449067"/>
      <w:bookmarkStart w:id="929" w:name="_Toc484448943"/>
      <w:bookmarkStart w:id="930" w:name="_Toc484448819"/>
      <w:bookmarkStart w:id="931" w:name="_Toc484448696"/>
      <w:bookmarkStart w:id="932" w:name="_Toc484448572"/>
      <w:bookmarkStart w:id="933" w:name="_Toc484448448"/>
      <w:bookmarkStart w:id="934" w:name="_Toc484448324"/>
      <w:bookmarkStart w:id="935" w:name="_Toc484448200"/>
      <w:bookmarkStart w:id="936" w:name="_Toc484448075"/>
      <w:bookmarkStart w:id="937" w:name="_Toc484440416"/>
      <w:bookmarkStart w:id="938" w:name="_Toc484440056"/>
      <w:bookmarkStart w:id="939" w:name="_Toc484439932"/>
      <w:bookmarkStart w:id="940" w:name="_Toc484439809"/>
      <w:bookmarkStart w:id="941" w:name="_Toc484438889"/>
      <w:bookmarkStart w:id="942" w:name="_Toc484438765"/>
      <w:bookmarkStart w:id="943" w:name="_Toc484438641"/>
      <w:bookmarkStart w:id="944" w:name="_Toc484429066"/>
      <w:bookmarkStart w:id="945" w:name="_Toc484428896"/>
      <w:bookmarkStart w:id="946" w:name="_Toc484097724"/>
      <w:bookmarkStart w:id="947" w:name="_Toc484011650"/>
      <w:bookmarkStart w:id="948" w:name="_Toc484011175"/>
      <w:bookmarkStart w:id="949" w:name="_Toc484011053"/>
      <w:bookmarkStart w:id="950" w:name="_Toc484010931"/>
      <w:bookmarkStart w:id="951" w:name="_Toc484010807"/>
      <w:bookmarkStart w:id="952" w:name="_Toc484010685"/>
      <w:bookmarkStart w:id="953" w:name="_Toc483906935"/>
      <w:bookmarkStart w:id="954" w:name="_Toc483571558"/>
      <w:bookmarkStart w:id="955" w:name="_Toc483571437"/>
      <w:bookmarkStart w:id="956" w:name="_Toc483474008"/>
      <w:bookmarkStart w:id="957" w:name="_Toc483401211"/>
      <w:bookmarkStart w:id="958" w:name="_Toc483325732"/>
      <w:bookmarkStart w:id="959" w:name="_Toc483316429"/>
      <w:bookmarkStart w:id="960" w:name="_Toc483316298"/>
      <w:bookmarkStart w:id="961" w:name="_Toc483316095"/>
      <w:bookmarkStart w:id="962" w:name="_Toc483315890"/>
      <w:bookmarkStart w:id="963" w:name="_Toc483302340"/>
      <w:bookmarkStart w:id="964" w:name="_Toc483233640"/>
      <w:bookmarkStart w:id="965" w:name="_Toc482979679"/>
      <w:bookmarkStart w:id="966" w:name="_Toc482979581"/>
      <w:bookmarkStart w:id="967" w:name="_Toc482979472"/>
      <w:bookmarkStart w:id="968" w:name="_Toc482979364"/>
      <w:bookmarkStart w:id="969" w:name="_Toc482979255"/>
      <w:bookmarkStart w:id="970" w:name="_Toc482979146"/>
      <w:bookmarkStart w:id="971" w:name="_Toc482979035"/>
      <w:bookmarkStart w:id="972" w:name="_Toc482978927"/>
      <w:bookmarkStart w:id="973" w:name="_Toc482978818"/>
      <w:bookmarkStart w:id="974" w:name="_Toc482959699"/>
      <w:bookmarkStart w:id="975" w:name="_Toc482959589"/>
      <w:bookmarkStart w:id="976" w:name="_Toc482959479"/>
      <w:bookmarkStart w:id="977" w:name="_Toc482712709"/>
      <w:bookmarkStart w:id="978" w:name="_Toc482641263"/>
      <w:bookmarkStart w:id="979" w:name="_Toc482633086"/>
      <w:bookmarkStart w:id="980" w:name="_Toc482352246"/>
      <w:bookmarkStart w:id="981" w:name="_Toc482352156"/>
      <w:bookmarkStart w:id="982" w:name="_Toc482352066"/>
      <w:bookmarkStart w:id="983" w:name="_Toc482351976"/>
      <w:bookmarkStart w:id="984" w:name="_Toc482102112"/>
      <w:bookmarkStart w:id="985" w:name="_Toc482102018"/>
      <w:bookmarkStart w:id="986" w:name="_Toc482101923"/>
      <w:bookmarkStart w:id="987" w:name="_Toc482101828"/>
      <w:bookmarkStart w:id="988" w:name="_Toc482101735"/>
      <w:bookmarkStart w:id="989" w:name="_Toc482101560"/>
      <w:bookmarkStart w:id="990" w:name="_Toc482101445"/>
      <w:bookmarkStart w:id="991" w:name="_Toc482101308"/>
      <w:bookmarkStart w:id="992" w:name="_Toc482100882"/>
      <w:bookmarkStart w:id="993" w:name="_Toc482100725"/>
      <w:bookmarkStart w:id="994" w:name="_Toc482099008"/>
      <w:bookmarkStart w:id="995" w:name="_Toc482097910"/>
      <w:bookmarkStart w:id="996" w:name="_Toc482097718"/>
      <w:bookmarkStart w:id="997" w:name="_Toc482097629"/>
      <w:bookmarkStart w:id="998" w:name="_Toc482097540"/>
      <w:bookmarkStart w:id="999" w:name="_Toc482025717"/>
      <w:bookmarkStart w:id="1000" w:name="_Toc485218265"/>
      <w:bookmarkStart w:id="1001" w:name="_Toc484688829"/>
      <w:bookmarkStart w:id="1002" w:name="_Toc484688274"/>
      <w:bookmarkStart w:id="1003" w:name="_Toc484605405"/>
      <w:bookmarkStart w:id="1004" w:name="_Toc484605281"/>
      <w:bookmarkStart w:id="1005" w:name="_Toc484526561"/>
      <w:bookmarkStart w:id="1006" w:name="_Toc484449066"/>
      <w:bookmarkStart w:id="1007" w:name="_Toc484448942"/>
      <w:bookmarkStart w:id="1008" w:name="_Toc484448818"/>
      <w:bookmarkStart w:id="1009" w:name="_Toc484448695"/>
      <w:bookmarkStart w:id="1010" w:name="_Toc484448571"/>
      <w:bookmarkStart w:id="1011" w:name="_Toc484448447"/>
      <w:bookmarkStart w:id="1012" w:name="_Toc484448323"/>
      <w:bookmarkStart w:id="1013" w:name="_Toc484448199"/>
      <w:bookmarkStart w:id="1014" w:name="_Toc484448074"/>
      <w:bookmarkStart w:id="1015" w:name="_Toc484440415"/>
      <w:bookmarkStart w:id="1016" w:name="_Toc484440055"/>
      <w:bookmarkStart w:id="1017" w:name="_Toc484439931"/>
      <w:bookmarkStart w:id="1018" w:name="_Toc484439808"/>
      <w:bookmarkStart w:id="1019" w:name="_Toc484438888"/>
      <w:bookmarkStart w:id="1020" w:name="_Toc484438764"/>
      <w:bookmarkStart w:id="1021" w:name="_Toc484438640"/>
      <w:bookmarkStart w:id="1022" w:name="_Toc484429065"/>
      <w:bookmarkStart w:id="1023" w:name="_Toc484428895"/>
      <w:bookmarkStart w:id="1024" w:name="_Toc484097723"/>
      <w:bookmarkStart w:id="1025" w:name="_Toc484011649"/>
      <w:bookmarkStart w:id="1026" w:name="_Toc484011174"/>
      <w:bookmarkStart w:id="1027" w:name="_Toc484011052"/>
      <w:bookmarkStart w:id="1028" w:name="_Toc484010930"/>
      <w:bookmarkStart w:id="1029" w:name="_Toc484010806"/>
      <w:bookmarkStart w:id="1030" w:name="_Toc484010684"/>
      <w:bookmarkStart w:id="1031" w:name="_Toc483906934"/>
      <w:bookmarkStart w:id="1032" w:name="_Toc483571557"/>
      <w:bookmarkStart w:id="1033" w:name="_Toc483571436"/>
      <w:bookmarkStart w:id="1034" w:name="_Toc483474007"/>
      <w:bookmarkStart w:id="1035" w:name="_Toc483401210"/>
      <w:bookmarkStart w:id="1036" w:name="_Toc483325731"/>
      <w:bookmarkStart w:id="1037" w:name="_Toc483316428"/>
      <w:bookmarkStart w:id="1038" w:name="_Toc483316297"/>
      <w:bookmarkStart w:id="1039" w:name="_Toc483316094"/>
      <w:bookmarkStart w:id="1040" w:name="_Toc483315889"/>
      <w:bookmarkStart w:id="1041" w:name="_Toc483302339"/>
      <w:bookmarkStart w:id="1042" w:name="_Toc483233639"/>
      <w:bookmarkStart w:id="1043" w:name="_Toc482979678"/>
      <w:bookmarkStart w:id="1044" w:name="_Toc482979580"/>
      <w:bookmarkStart w:id="1045" w:name="_Toc482979471"/>
      <w:bookmarkStart w:id="1046" w:name="_Toc482979363"/>
      <w:bookmarkStart w:id="1047" w:name="_Toc482979254"/>
      <w:bookmarkStart w:id="1048" w:name="_Toc482979145"/>
      <w:bookmarkStart w:id="1049" w:name="_Toc482979034"/>
      <w:bookmarkStart w:id="1050" w:name="_Toc482978926"/>
      <w:bookmarkStart w:id="1051" w:name="_Toc482978817"/>
      <w:bookmarkStart w:id="1052" w:name="_Toc482959698"/>
      <w:bookmarkStart w:id="1053" w:name="_Toc482959588"/>
      <w:bookmarkStart w:id="1054" w:name="_Toc482959478"/>
      <w:bookmarkStart w:id="1055" w:name="_Toc482712708"/>
      <w:bookmarkStart w:id="1056" w:name="_Toc482641262"/>
      <w:bookmarkStart w:id="1057" w:name="_Toc482633085"/>
      <w:bookmarkStart w:id="1058" w:name="_Toc482352245"/>
      <w:bookmarkStart w:id="1059" w:name="_Toc482352155"/>
      <w:bookmarkStart w:id="1060" w:name="_Toc482352065"/>
      <w:bookmarkStart w:id="1061" w:name="_Toc482351975"/>
      <w:bookmarkStart w:id="1062" w:name="_Toc482102111"/>
      <w:bookmarkStart w:id="1063" w:name="_Toc482102017"/>
      <w:bookmarkStart w:id="1064" w:name="_Toc482101922"/>
      <w:bookmarkStart w:id="1065" w:name="_Toc482101827"/>
      <w:bookmarkStart w:id="1066" w:name="_Toc482101734"/>
      <w:bookmarkStart w:id="1067" w:name="_Toc482101559"/>
      <w:bookmarkStart w:id="1068" w:name="_Toc482101444"/>
      <w:bookmarkStart w:id="1069" w:name="_Toc482101307"/>
      <w:bookmarkStart w:id="1070" w:name="_Toc482100881"/>
      <w:bookmarkStart w:id="1071" w:name="_Toc482100724"/>
      <w:bookmarkStart w:id="1072" w:name="_Toc482099007"/>
      <w:bookmarkStart w:id="1073" w:name="_Toc482097909"/>
      <w:bookmarkStart w:id="1074" w:name="_Toc482097717"/>
      <w:bookmarkStart w:id="1075" w:name="_Toc482097628"/>
      <w:bookmarkStart w:id="1076" w:name="_Toc482097539"/>
      <w:bookmarkStart w:id="1077" w:name="_Toc482025716"/>
      <w:bookmarkStart w:id="1078" w:name="_Toc485218264"/>
      <w:bookmarkStart w:id="1079" w:name="_Toc484688828"/>
      <w:bookmarkStart w:id="1080" w:name="_Toc484688273"/>
      <w:bookmarkStart w:id="1081" w:name="_Toc484605404"/>
      <w:bookmarkStart w:id="1082" w:name="_Toc484605280"/>
      <w:bookmarkStart w:id="1083" w:name="_Toc484526560"/>
      <w:bookmarkStart w:id="1084" w:name="_Toc484449065"/>
      <w:bookmarkStart w:id="1085" w:name="_Toc484448941"/>
      <w:bookmarkStart w:id="1086" w:name="_Toc484448817"/>
      <w:bookmarkStart w:id="1087" w:name="_Toc484448694"/>
      <w:bookmarkStart w:id="1088" w:name="_Toc484448570"/>
      <w:bookmarkStart w:id="1089" w:name="_Toc484448446"/>
      <w:bookmarkStart w:id="1090" w:name="_Toc484448322"/>
      <w:bookmarkStart w:id="1091" w:name="_Toc484448198"/>
      <w:bookmarkStart w:id="1092" w:name="_Toc484448073"/>
      <w:bookmarkStart w:id="1093" w:name="_Toc484440414"/>
      <w:bookmarkStart w:id="1094" w:name="_Toc484440054"/>
      <w:bookmarkStart w:id="1095" w:name="_Toc484439930"/>
      <w:bookmarkStart w:id="1096" w:name="_Toc484439807"/>
      <w:bookmarkStart w:id="1097" w:name="_Toc484438887"/>
      <w:bookmarkStart w:id="1098" w:name="_Toc484438763"/>
      <w:bookmarkStart w:id="1099" w:name="_Toc484438639"/>
      <w:bookmarkStart w:id="1100" w:name="_Toc484429064"/>
      <w:bookmarkStart w:id="1101" w:name="_Toc484428894"/>
      <w:bookmarkStart w:id="1102" w:name="_Toc484097722"/>
      <w:bookmarkStart w:id="1103" w:name="_Toc484011648"/>
      <w:bookmarkStart w:id="1104" w:name="_Toc484011173"/>
      <w:bookmarkStart w:id="1105" w:name="_Toc484011051"/>
      <w:bookmarkStart w:id="1106" w:name="_Toc484010929"/>
      <w:bookmarkStart w:id="1107" w:name="_Toc484010805"/>
      <w:bookmarkStart w:id="1108" w:name="_Toc484010683"/>
      <w:bookmarkStart w:id="1109" w:name="_Toc483906933"/>
      <w:bookmarkStart w:id="1110" w:name="_Toc483571556"/>
      <w:bookmarkStart w:id="1111" w:name="_Toc483571435"/>
      <w:bookmarkStart w:id="1112" w:name="_Toc483474006"/>
      <w:bookmarkStart w:id="1113" w:name="_Toc483401209"/>
      <w:bookmarkStart w:id="1114" w:name="_Toc483325730"/>
      <w:bookmarkStart w:id="1115" w:name="_Toc483316427"/>
      <w:bookmarkStart w:id="1116" w:name="_Toc483316296"/>
      <w:bookmarkStart w:id="1117" w:name="_Toc483316093"/>
      <w:bookmarkStart w:id="1118" w:name="_Toc483315888"/>
      <w:bookmarkStart w:id="1119" w:name="_Toc483302338"/>
      <w:bookmarkStart w:id="1120" w:name="_Toc483233638"/>
      <w:bookmarkStart w:id="1121" w:name="_Toc482979677"/>
      <w:bookmarkStart w:id="1122" w:name="_Toc482979579"/>
      <w:bookmarkStart w:id="1123" w:name="_Toc482979470"/>
      <w:bookmarkStart w:id="1124" w:name="_Toc482979362"/>
      <w:bookmarkStart w:id="1125" w:name="_Toc482979253"/>
      <w:bookmarkStart w:id="1126" w:name="_Toc482979144"/>
      <w:bookmarkStart w:id="1127" w:name="_Toc482979033"/>
      <w:bookmarkStart w:id="1128" w:name="_Toc482978925"/>
      <w:bookmarkStart w:id="1129" w:name="_Toc482978816"/>
      <w:bookmarkStart w:id="1130" w:name="_Toc482959697"/>
      <w:bookmarkStart w:id="1131" w:name="_Toc482959587"/>
      <w:bookmarkStart w:id="1132" w:name="_Toc482959477"/>
      <w:bookmarkStart w:id="1133" w:name="_Toc482712707"/>
      <w:bookmarkStart w:id="1134" w:name="_Toc482641261"/>
      <w:bookmarkStart w:id="1135" w:name="_Toc482633084"/>
      <w:bookmarkStart w:id="1136" w:name="_Toc482352244"/>
      <w:bookmarkStart w:id="1137" w:name="_Toc482352154"/>
      <w:bookmarkStart w:id="1138" w:name="_Toc482352064"/>
      <w:bookmarkStart w:id="1139" w:name="_Toc482351974"/>
      <w:bookmarkStart w:id="1140" w:name="_Toc482102110"/>
      <w:bookmarkStart w:id="1141" w:name="_Toc482102016"/>
      <w:bookmarkStart w:id="1142" w:name="_Toc482101921"/>
      <w:bookmarkStart w:id="1143" w:name="_Toc482101826"/>
      <w:bookmarkStart w:id="1144" w:name="_Toc482101733"/>
      <w:bookmarkStart w:id="1145" w:name="_Toc482101558"/>
      <w:bookmarkStart w:id="1146" w:name="_Toc482101443"/>
      <w:bookmarkStart w:id="1147" w:name="_Toc482101306"/>
      <w:bookmarkStart w:id="1148" w:name="_Toc482100880"/>
      <w:bookmarkStart w:id="1149" w:name="_Toc482100723"/>
      <w:bookmarkStart w:id="1150" w:name="_Toc482099006"/>
      <w:bookmarkStart w:id="1151" w:name="_Toc482097908"/>
      <w:bookmarkStart w:id="1152" w:name="_Toc482097716"/>
      <w:bookmarkStart w:id="1153" w:name="_Toc482097627"/>
      <w:bookmarkStart w:id="1154" w:name="_Toc482097538"/>
      <w:bookmarkStart w:id="1155" w:name="_Toc482025715"/>
      <w:bookmarkStart w:id="1156" w:name="_Toc485218263"/>
      <w:bookmarkStart w:id="1157" w:name="_Toc484688827"/>
      <w:bookmarkStart w:id="1158" w:name="_Toc484688272"/>
      <w:bookmarkStart w:id="1159" w:name="_Toc484605403"/>
      <w:bookmarkStart w:id="1160" w:name="_Toc484605279"/>
      <w:bookmarkStart w:id="1161" w:name="_Toc484526559"/>
      <w:bookmarkStart w:id="1162" w:name="_Toc484449064"/>
      <w:bookmarkStart w:id="1163" w:name="_Toc484448940"/>
      <w:bookmarkStart w:id="1164" w:name="_Toc484448816"/>
      <w:bookmarkStart w:id="1165" w:name="_Toc484448693"/>
      <w:bookmarkStart w:id="1166" w:name="_Toc484448569"/>
      <w:bookmarkStart w:id="1167" w:name="_Toc484448445"/>
      <w:bookmarkStart w:id="1168" w:name="_Toc484448321"/>
      <w:bookmarkStart w:id="1169" w:name="_Toc484448197"/>
      <w:bookmarkStart w:id="1170" w:name="_Toc484448072"/>
      <w:bookmarkStart w:id="1171" w:name="_Toc484440413"/>
      <w:bookmarkStart w:id="1172" w:name="_Toc484440053"/>
      <w:bookmarkStart w:id="1173" w:name="_Toc484439929"/>
      <w:bookmarkStart w:id="1174" w:name="_Toc484439806"/>
      <w:bookmarkStart w:id="1175" w:name="_Toc484438886"/>
      <w:bookmarkStart w:id="1176" w:name="_Toc484438762"/>
      <w:bookmarkStart w:id="1177" w:name="_Toc484438638"/>
      <w:bookmarkStart w:id="1178" w:name="_Toc484429063"/>
      <w:bookmarkStart w:id="1179" w:name="_Toc484428893"/>
      <w:bookmarkStart w:id="1180" w:name="_Toc484097721"/>
      <w:bookmarkStart w:id="1181" w:name="_Toc484011647"/>
      <w:bookmarkStart w:id="1182" w:name="_Toc484011172"/>
      <w:bookmarkStart w:id="1183" w:name="_Toc484011050"/>
      <w:bookmarkStart w:id="1184" w:name="_Toc484010928"/>
      <w:bookmarkStart w:id="1185" w:name="_Toc484010804"/>
      <w:bookmarkStart w:id="1186" w:name="_Toc484010682"/>
      <w:bookmarkStart w:id="1187" w:name="_Toc483906932"/>
      <w:bookmarkStart w:id="1188" w:name="_Toc483571555"/>
      <w:bookmarkStart w:id="1189" w:name="_Toc483571434"/>
      <w:bookmarkStart w:id="1190" w:name="_Toc483474005"/>
      <w:bookmarkStart w:id="1191" w:name="_Toc483401208"/>
      <w:bookmarkStart w:id="1192" w:name="_Toc483325729"/>
      <w:bookmarkStart w:id="1193" w:name="_Toc483316426"/>
      <w:bookmarkStart w:id="1194" w:name="_Toc483316295"/>
      <w:bookmarkStart w:id="1195" w:name="_Toc483316092"/>
      <w:bookmarkStart w:id="1196" w:name="_Toc483315887"/>
      <w:bookmarkStart w:id="1197" w:name="_Toc483302337"/>
      <w:bookmarkStart w:id="1198" w:name="_Toc483233637"/>
      <w:bookmarkStart w:id="1199" w:name="_Toc482979676"/>
      <w:bookmarkStart w:id="1200" w:name="_Toc482979578"/>
      <w:bookmarkStart w:id="1201" w:name="_Toc482979469"/>
      <w:bookmarkStart w:id="1202" w:name="_Toc482979361"/>
      <w:bookmarkStart w:id="1203" w:name="_Toc482979252"/>
      <w:bookmarkStart w:id="1204" w:name="_Toc482979143"/>
      <w:bookmarkStart w:id="1205" w:name="_Toc482979032"/>
      <w:bookmarkStart w:id="1206" w:name="_Toc482978924"/>
      <w:bookmarkStart w:id="1207" w:name="_Toc482978815"/>
      <w:bookmarkStart w:id="1208" w:name="_Toc482959696"/>
      <w:bookmarkStart w:id="1209" w:name="_Toc482959586"/>
      <w:bookmarkStart w:id="1210" w:name="_Toc482959476"/>
      <w:bookmarkStart w:id="1211" w:name="_Toc482712706"/>
      <w:bookmarkStart w:id="1212" w:name="_Toc482641260"/>
      <w:bookmarkStart w:id="1213" w:name="_Toc482633083"/>
      <w:bookmarkStart w:id="1214" w:name="_Toc482352243"/>
      <w:bookmarkStart w:id="1215" w:name="_Toc482352153"/>
      <w:bookmarkStart w:id="1216" w:name="_Toc482352063"/>
      <w:bookmarkStart w:id="1217" w:name="_Toc482351973"/>
      <w:bookmarkStart w:id="1218" w:name="_Toc482102109"/>
      <w:bookmarkStart w:id="1219" w:name="_Toc482102015"/>
      <w:bookmarkStart w:id="1220" w:name="_Toc482101920"/>
      <w:bookmarkStart w:id="1221" w:name="_Toc482101825"/>
      <w:bookmarkStart w:id="1222" w:name="_Toc482101732"/>
      <w:bookmarkStart w:id="1223" w:name="_Toc482101557"/>
      <w:bookmarkStart w:id="1224" w:name="_Toc482101442"/>
      <w:bookmarkStart w:id="1225" w:name="_Toc482101305"/>
      <w:bookmarkStart w:id="1226" w:name="_Toc482100879"/>
      <w:bookmarkStart w:id="1227" w:name="_Toc482100722"/>
      <w:bookmarkStart w:id="1228" w:name="_Toc482099005"/>
      <w:bookmarkStart w:id="1229" w:name="_Toc482097907"/>
      <w:bookmarkStart w:id="1230" w:name="_Toc482097715"/>
      <w:bookmarkStart w:id="1231" w:name="_Toc482097626"/>
      <w:bookmarkStart w:id="1232" w:name="_Toc482097537"/>
      <w:bookmarkStart w:id="1233" w:name="_Toc482025714"/>
      <w:bookmarkStart w:id="1234" w:name="_Toc485218262"/>
      <w:bookmarkStart w:id="1235" w:name="_Toc484688826"/>
      <w:bookmarkStart w:id="1236" w:name="_Toc484688271"/>
      <w:bookmarkStart w:id="1237" w:name="_Toc484605402"/>
      <w:bookmarkStart w:id="1238" w:name="_Toc484605278"/>
      <w:bookmarkStart w:id="1239" w:name="_Toc484526558"/>
      <w:bookmarkStart w:id="1240" w:name="_Toc484449063"/>
      <w:bookmarkStart w:id="1241" w:name="_Toc484448939"/>
      <w:bookmarkStart w:id="1242" w:name="_Toc484448815"/>
      <w:bookmarkStart w:id="1243" w:name="_Toc484448692"/>
      <w:bookmarkStart w:id="1244" w:name="_Toc484448568"/>
      <w:bookmarkStart w:id="1245" w:name="_Toc484448444"/>
      <w:bookmarkStart w:id="1246" w:name="_Toc484448320"/>
      <w:bookmarkStart w:id="1247" w:name="_Toc484448196"/>
      <w:bookmarkStart w:id="1248" w:name="_Toc484448071"/>
      <w:bookmarkStart w:id="1249" w:name="_Toc484440412"/>
      <w:bookmarkStart w:id="1250" w:name="_Toc484440052"/>
      <w:bookmarkStart w:id="1251" w:name="_Toc484439928"/>
      <w:bookmarkStart w:id="1252" w:name="_Toc484439805"/>
      <w:bookmarkStart w:id="1253" w:name="_Toc484438885"/>
      <w:bookmarkStart w:id="1254" w:name="_Toc484438761"/>
      <w:bookmarkStart w:id="1255" w:name="_Toc484438637"/>
      <w:bookmarkStart w:id="1256" w:name="_Toc484429062"/>
      <w:bookmarkStart w:id="1257" w:name="_Toc484428892"/>
      <w:bookmarkStart w:id="1258" w:name="_Toc484097720"/>
      <w:bookmarkStart w:id="1259" w:name="_Toc484011646"/>
      <w:bookmarkStart w:id="1260" w:name="_Toc484011171"/>
      <w:bookmarkStart w:id="1261" w:name="_Toc484011049"/>
      <w:bookmarkStart w:id="1262" w:name="_Toc484010927"/>
      <w:bookmarkStart w:id="1263" w:name="_Toc484010803"/>
      <w:bookmarkStart w:id="1264" w:name="_Toc484010681"/>
      <w:bookmarkStart w:id="1265" w:name="_Toc483906931"/>
      <w:bookmarkStart w:id="1266" w:name="_Toc483571554"/>
      <w:bookmarkStart w:id="1267" w:name="_Toc483571433"/>
      <w:bookmarkStart w:id="1268" w:name="_Toc483474004"/>
      <w:bookmarkStart w:id="1269" w:name="_Toc483401207"/>
      <w:bookmarkStart w:id="1270" w:name="_Toc483325728"/>
      <w:bookmarkStart w:id="1271" w:name="_Toc483316425"/>
      <w:bookmarkStart w:id="1272" w:name="_Toc483316294"/>
      <w:bookmarkStart w:id="1273" w:name="_Toc483316091"/>
      <w:bookmarkStart w:id="1274" w:name="_Toc483315886"/>
      <w:bookmarkStart w:id="1275" w:name="_Toc483302336"/>
      <w:bookmarkStart w:id="1276" w:name="_Toc483233636"/>
      <w:bookmarkStart w:id="1277" w:name="_Toc482979675"/>
      <w:bookmarkStart w:id="1278" w:name="_Toc482979577"/>
      <w:bookmarkStart w:id="1279" w:name="_Toc482979468"/>
      <w:bookmarkStart w:id="1280" w:name="_Toc482979360"/>
      <w:bookmarkStart w:id="1281" w:name="_Toc482979251"/>
      <w:bookmarkStart w:id="1282" w:name="_Toc482979142"/>
      <w:bookmarkStart w:id="1283" w:name="_Toc482979031"/>
      <w:bookmarkStart w:id="1284" w:name="_Toc482978923"/>
      <w:bookmarkStart w:id="1285" w:name="_Toc482978814"/>
      <w:bookmarkStart w:id="1286" w:name="_Toc482959695"/>
      <w:bookmarkStart w:id="1287" w:name="_Toc482959585"/>
      <w:bookmarkStart w:id="1288" w:name="_Toc482959475"/>
      <w:bookmarkStart w:id="1289" w:name="_Toc482712705"/>
      <w:bookmarkStart w:id="1290" w:name="_Toc482641259"/>
      <w:bookmarkStart w:id="1291" w:name="_Toc482633082"/>
      <w:bookmarkStart w:id="1292" w:name="_Toc482352242"/>
      <w:bookmarkStart w:id="1293" w:name="_Toc482352152"/>
      <w:bookmarkStart w:id="1294" w:name="_Toc482352062"/>
      <w:bookmarkStart w:id="1295" w:name="_Toc482351972"/>
      <w:bookmarkStart w:id="1296" w:name="_Toc482102108"/>
      <w:bookmarkStart w:id="1297" w:name="_Toc482102014"/>
      <w:bookmarkStart w:id="1298" w:name="_Toc482101919"/>
      <w:bookmarkStart w:id="1299" w:name="_Toc482101824"/>
      <w:bookmarkStart w:id="1300" w:name="_Toc482101731"/>
      <w:bookmarkStart w:id="1301" w:name="_Toc482101556"/>
      <w:bookmarkStart w:id="1302" w:name="_Toc482101441"/>
      <w:bookmarkStart w:id="1303" w:name="_Toc482101304"/>
      <w:bookmarkStart w:id="1304" w:name="_Toc482100878"/>
      <w:bookmarkStart w:id="1305" w:name="_Toc482100721"/>
      <w:bookmarkStart w:id="1306" w:name="_Toc482099004"/>
      <w:bookmarkStart w:id="1307" w:name="_Toc482097906"/>
      <w:bookmarkStart w:id="1308" w:name="_Toc482097714"/>
      <w:bookmarkStart w:id="1309" w:name="_Toc482097625"/>
      <w:bookmarkStart w:id="1310" w:name="_Toc482097536"/>
      <w:bookmarkStart w:id="1311" w:name="_Toc482025713"/>
      <w:bookmarkStart w:id="1312" w:name="_Toc485218261"/>
      <w:bookmarkStart w:id="1313" w:name="_Toc484688825"/>
      <w:bookmarkStart w:id="1314" w:name="_Toc484688270"/>
      <w:bookmarkStart w:id="1315" w:name="_Toc484605401"/>
      <w:bookmarkStart w:id="1316" w:name="_Toc484605277"/>
      <w:bookmarkStart w:id="1317" w:name="_Toc484526557"/>
      <w:bookmarkStart w:id="1318" w:name="_Toc484449062"/>
      <w:bookmarkStart w:id="1319" w:name="_Toc484448938"/>
      <w:bookmarkStart w:id="1320" w:name="_Toc484448814"/>
      <w:bookmarkStart w:id="1321" w:name="_Toc484448691"/>
      <w:bookmarkStart w:id="1322" w:name="_Toc484448567"/>
      <w:bookmarkStart w:id="1323" w:name="_Toc484448443"/>
      <w:bookmarkStart w:id="1324" w:name="_Toc484448319"/>
      <w:bookmarkStart w:id="1325" w:name="_Toc484448195"/>
      <w:bookmarkStart w:id="1326" w:name="_Toc484448070"/>
      <w:bookmarkStart w:id="1327" w:name="_Toc484440411"/>
      <w:bookmarkStart w:id="1328" w:name="_Toc484440051"/>
      <w:bookmarkStart w:id="1329" w:name="_Toc484439927"/>
      <w:bookmarkStart w:id="1330" w:name="_Toc484439804"/>
      <w:bookmarkStart w:id="1331" w:name="_Toc484438884"/>
      <w:bookmarkStart w:id="1332" w:name="_Toc484438760"/>
      <w:bookmarkStart w:id="1333" w:name="_Toc484438636"/>
      <w:bookmarkStart w:id="1334" w:name="_Toc484429061"/>
      <w:bookmarkStart w:id="1335" w:name="_Toc484428891"/>
      <w:bookmarkStart w:id="1336" w:name="_Toc484097719"/>
      <w:bookmarkStart w:id="1337" w:name="_Toc484011645"/>
      <w:bookmarkStart w:id="1338" w:name="_Toc484011170"/>
      <w:bookmarkStart w:id="1339" w:name="_Toc484011048"/>
      <w:bookmarkStart w:id="1340" w:name="_Toc484010926"/>
      <w:bookmarkStart w:id="1341" w:name="_Toc484010802"/>
      <w:bookmarkStart w:id="1342" w:name="_Toc484010680"/>
      <w:bookmarkStart w:id="1343" w:name="_Toc483906930"/>
      <w:bookmarkStart w:id="1344" w:name="_Toc483571553"/>
      <w:bookmarkStart w:id="1345" w:name="_Toc483571432"/>
      <w:bookmarkStart w:id="1346" w:name="_Toc483474003"/>
      <w:bookmarkStart w:id="1347" w:name="_Toc483401206"/>
      <w:bookmarkStart w:id="1348" w:name="_Toc483325727"/>
      <w:bookmarkStart w:id="1349" w:name="_Toc483316424"/>
      <w:bookmarkStart w:id="1350" w:name="_Toc483316293"/>
      <w:bookmarkStart w:id="1351" w:name="_Toc483316090"/>
      <w:bookmarkStart w:id="1352" w:name="_Toc483315885"/>
      <w:bookmarkStart w:id="1353" w:name="_Toc483302335"/>
      <w:bookmarkStart w:id="1354" w:name="_Toc483233635"/>
      <w:bookmarkStart w:id="1355" w:name="_Toc482979674"/>
      <w:bookmarkStart w:id="1356" w:name="_Toc482979576"/>
      <w:bookmarkStart w:id="1357" w:name="_Toc482979467"/>
      <w:bookmarkStart w:id="1358" w:name="_Toc482979359"/>
      <w:bookmarkStart w:id="1359" w:name="_Toc482979250"/>
      <w:bookmarkStart w:id="1360" w:name="_Toc482979141"/>
      <w:bookmarkStart w:id="1361" w:name="_Toc482979030"/>
      <w:bookmarkStart w:id="1362" w:name="_Toc482978922"/>
      <w:bookmarkStart w:id="1363" w:name="_Toc482978813"/>
      <w:bookmarkStart w:id="1364" w:name="_Toc482959694"/>
      <w:bookmarkStart w:id="1365" w:name="_Toc482959584"/>
      <w:bookmarkStart w:id="1366" w:name="_Toc482959474"/>
      <w:bookmarkStart w:id="1367" w:name="_Toc482712704"/>
      <w:bookmarkStart w:id="1368" w:name="_Toc482641258"/>
      <w:bookmarkStart w:id="1369" w:name="_Toc482633081"/>
      <w:bookmarkStart w:id="1370" w:name="_Toc482352241"/>
      <w:bookmarkStart w:id="1371" w:name="_Toc482352151"/>
      <w:bookmarkStart w:id="1372" w:name="_Toc482352061"/>
      <w:bookmarkStart w:id="1373" w:name="_Toc482351971"/>
      <w:bookmarkStart w:id="1374" w:name="_Toc482102107"/>
      <w:bookmarkStart w:id="1375" w:name="_Toc482102013"/>
      <w:bookmarkStart w:id="1376" w:name="_Toc482101918"/>
      <w:bookmarkStart w:id="1377" w:name="_Toc482101823"/>
      <w:bookmarkStart w:id="1378" w:name="_Toc482101730"/>
      <w:bookmarkStart w:id="1379" w:name="_Toc482101555"/>
      <w:bookmarkStart w:id="1380" w:name="_Toc482101440"/>
      <w:bookmarkStart w:id="1381" w:name="_Toc482101303"/>
      <w:bookmarkStart w:id="1382" w:name="_Toc482100877"/>
      <w:bookmarkStart w:id="1383" w:name="_Toc482100720"/>
      <w:bookmarkStart w:id="1384" w:name="_Toc482099003"/>
      <w:bookmarkStart w:id="1385" w:name="_Toc482097905"/>
      <w:bookmarkStart w:id="1386" w:name="_Toc482097713"/>
      <w:bookmarkStart w:id="1387" w:name="_Toc482097624"/>
      <w:bookmarkStart w:id="1388" w:name="_Toc482097535"/>
      <w:bookmarkStart w:id="1389" w:name="_Toc482025712"/>
      <w:bookmarkStart w:id="1390" w:name="_Toc416423357"/>
      <w:bookmarkStart w:id="1391" w:name="_Toc406754172"/>
      <w:bookmarkStart w:id="1392" w:name="_Ref531184613"/>
      <w:bookmarkStart w:id="1393" w:name="_Toc95495886"/>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Pr>
          <w:rFonts w:ascii="Titillium" w:hAnsi="Titillium"/>
          <w:sz w:val="18"/>
          <w:szCs w:val="18"/>
        </w:rPr>
        <w:t>REQUISITI GENERALI</w:t>
      </w:r>
      <w:bookmarkEnd w:id="1392"/>
      <w:bookmarkEnd w:id="1393"/>
      <w:r>
        <w:rPr>
          <w:rFonts w:ascii="Titillium" w:hAnsi="Titillium"/>
          <w:sz w:val="18"/>
          <w:szCs w:val="18"/>
        </w:rPr>
        <w:t xml:space="preserve"> </w:t>
      </w:r>
    </w:p>
    <w:p w14:paraId="0A6A1593" w14:textId="15AA75FC" w:rsidR="00CA40EB" w:rsidRDefault="00CA40EB" w:rsidP="00E64307">
      <w:pPr>
        <w:spacing w:before="60" w:after="60"/>
        <w:rPr>
          <w:rFonts w:ascii="Titillium" w:hAnsi="Titillium"/>
          <w:sz w:val="18"/>
          <w:szCs w:val="24"/>
        </w:rPr>
      </w:pPr>
      <w:r w:rsidRPr="00E64307">
        <w:rPr>
          <w:rFonts w:ascii="Titillium" w:hAnsi="Titillium" w:cs="Arial"/>
          <w:sz w:val="18"/>
          <w:szCs w:val="18"/>
        </w:rPr>
        <w:t>Sono esclusi dalla gara gli operatori economici per i quali sussistono cause di esclusione di cui all’articolo 80 del Codice.</w:t>
      </w:r>
      <w:r w:rsidRPr="00E64307">
        <w:rPr>
          <w:rFonts w:ascii="Titillium" w:hAnsi="Titillium" w:cs="Calibri"/>
          <w:sz w:val="18"/>
          <w:szCs w:val="24"/>
        </w:rPr>
        <w:t xml:space="preserve"> In caso di partecipazione di consorzi di cui </w:t>
      </w:r>
      <w:r w:rsidRPr="00E64307">
        <w:rPr>
          <w:rFonts w:ascii="Titillium" w:hAnsi="Titillium"/>
          <w:sz w:val="18"/>
          <w:szCs w:val="24"/>
        </w:rPr>
        <w:t>all’articolo 45, comma 2, lettere b) e c), del Codice la sussistenza dei requisiti di cui all’articolo 80 del Codice è attestata e verificata nei confronti del consorzio e delle consorziate indicate quali esecutrici.</w:t>
      </w:r>
    </w:p>
    <w:p w14:paraId="477D0AD4" w14:textId="3F4D7799" w:rsidR="005C15ED" w:rsidRPr="00A33299" w:rsidRDefault="005C15ED" w:rsidP="00E64307">
      <w:pPr>
        <w:spacing w:before="60" w:after="60"/>
        <w:rPr>
          <w:rFonts w:ascii="Titillium" w:hAnsi="Titillium"/>
          <w:color w:val="FF0000"/>
          <w:sz w:val="18"/>
          <w:szCs w:val="24"/>
        </w:rPr>
      </w:pPr>
      <w:r w:rsidRPr="00A33299">
        <w:rPr>
          <w:rFonts w:ascii="Titillium" w:hAnsi="Titillium"/>
          <w:color w:val="FF0000"/>
          <w:sz w:val="18"/>
          <w:szCs w:val="24"/>
        </w:rPr>
        <w:t>Costituisce causa di esclusione degli operatori economici dalla procedura di gara</w:t>
      </w:r>
      <w:r w:rsidR="00A33299" w:rsidRPr="00A33299">
        <w:rPr>
          <w:rFonts w:ascii="Titillium" w:hAnsi="Titillium"/>
          <w:color w:val="FF0000"/>
          <w:sz w:val="18"/>
          <w:szCs w:val="24"/>
        </w:rPr>
        <w:t xml:space="preserve"> </w:t>
      </w:r>
      <w:r w:rsidRPr="00A33299">
        <w:rPr>
          <w:rFonts w:ascii="Titillium" w:hAnsi="Titillium"/>
          <w:color w:val="FF0000"/>
          <w:sz w:val="18"/>
          <w:szCs w:val="24"/>
        </w:rPr>
        <w:t>il mancato rispetto, al momento della presentazione dell'offerta, degli obblighi in materia di lavoro delle persone con disabilità di cui alla legge 12 marzo 1999, n. 68</w:t>
      </w:r>
      <w:r w:rsidR="00EF75B0" w:rsidRPr="00A33299">
        <w:rPr>
          <w:rFonts w:ascii="Titillium" w:hAnsi="Titillium"/>
          <w:color w:val="FF0000"/>
          <w:sz w:val="18"/>
          <w:szCs w:val="24"/>
        </w:rPr>
        <w:t>, oltre che ai se</w:t>
      </w:r>
      <w:r w:rsidR="00A33299" w:rsidRPr="00A33299">
        <w:rPr>
          <w:rFonts w:ascii="Titillium" w:hAnsi="Titillium"/>
          <w:color w:val="FF0000"/>
          <w:sz w:val="18"/>
          <w:szCs w:val="24"/>
        </w:rPr>
        <w:t>nsi dell’art. 80, comma 5, lettera</w:t>
      </w:r>
      <w:r w:rsidR="00EF75B0" w:rsidRPr="00A33299">
        <w:rPr>
          <w:rFonts w:ascii="Titillium" w:hAnsi="Titillium"/>
          <w:color w:val="FF0000"/>
          <w:sz w:val="18"/>
          <w:szCs w:val="24"/>
        </w:rPr>
        <w:t xml:space="preserve"> i</w:t>
      </w:r>
      <w:r w:rsidR="008D112D" w:rsidRPr="00A33299">
        <w:rPr>
          <w:rFonts w:ascii="Titillium" w:hAnsi="Titillium"/>
          <w:color w:val="FF0000"/>
          <w:sz w:val="18"/>
          <w:szCs w:val="24"/>
        </w:rPr>
        <w:t>)</w:t>
      </w:r>
      <w:r w:rsidR="00EF75B0" w:rsidRPr="00A33299">
        <w:rPr>
          <w:rFonts w:ascii="Titillium" w:hAnsi="Titillium"/>
          <w:color w:val="FF0000"/>
          <w:sz w:val="18"/>
          <w:szCs w:val="24"/>
        </w:rPr>
        <w:t>, del Codice.</w:t>
      </w:r>
    </w:p>
    <w:p w14:paraId="22CA4BC5" w14:textId="77777777" w:rsidR="00CA40EB" w:rsidRDefault="00CA40EB" w:rsidP="00E64307">
      <w:pPr>
        <w:spacing w:before="120" w:after="60"/>
      </w:pPr>
      <w:r w:rsidRPr="00E64307">
        <w:rPr>
          <w:rFonts w:ascii="Titillium" w:hAnsi="Titillium" w:cs="Arial"/>
          <w:sz w:val="18"/>
          <w:szCs w:val="18"/>
        </w:rPr>
        <w:t xml:space="preserve">Sono comunque </w:t>
      </w:r>
      <w:r w:rsidRPr="005C15ED">
        <w:rPr>
          <w:rFonts w:ascii="Titillium" w:hAnsi="Titillium" w:cs="Arial"/>
          <w:sz w:val="18"/>
          <w:szCs w:val="18"/>
        </w:rPr>
        <w:t>esclusi</w:t>
      </w:r>
      <w:r w:rsidRPr="00E64307">
        <w:rPr>
          <w:rFonts w:ascii="Titillium" w:hAnsi="Titillium" w:cs="Arial"/>
          <w:sz w:val="18"/>
          <w:szCs w:val="18"/>
        </w:rPr>
        <w:t xml:space="preserve"> gli</w:t>
      </w:r>
      <w:r w:rsidRPr="00E64307">
        <w:rPr>
          <w:rFonts w:ascii="Titillium" w:hAnsi="Titillium" w:cs="Arial"/>
          <w:b/>
          <w:sz w:val="18"/>
          <w:szCs w:val="18"/>
        </w:rPr>
        <w:t xml:space="preserve"> </w:t>
      </w:r>
      <w:r w:rsidRPr="00E64307">
        <w:rPr>
          <w:rFonts w:ascii="Titillium" w:hAnsi="Titillium" w:cs="Calibri"/>
          <w:sz w:val="18"/>
          <w:szCs w:val="18"/>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45C99437" w14:textId="77777777" w:rsidR="00CA40EB" w:rsidRDefault="00CA40EB" w:rsidP="00E64307">
      <w:pPr>
        <w:spacing w:before="120" w:after="60"/>
      </w:pPr>
      <w:r w:rsidRPr="00E64307">
        <w:rPr>
          <w:rFonts w:ascii="Titillium" w:hAnsi="Titillium" w:cs="Calibri"/>
          <w:b/>
          <w:i/>
          <w:sz w:val="18"/>
          <w:szCs w:val="18"/>
        </w:rPr>
        <w:t>[Eventuale in caso di</w:t>
      </w:r>
      <w:r w:rsidRPr="00E64307">
        <w:rPr>
          <w:rFonts w:ascii="Titillium" w:hAnsi="Titillium" w:cs="Calibri"/>
          <w:sz w:val="18"/>
          <w:szCs w:val="18"/>
        </w:rPr>
        <w:t xml:space="preserve"> </w:t>
      </w:r>
      <w:r w:rsidRPr="00E64307">
        <w:rPr>
          <w:rFonts w:ascii="Titillium" w:hAnsi="Titillium" w:cs="Calibri"/>
          <w:b/>
          <w:i/>
          <w:sz w:val="18"/>
          <w:szCs w:val="18"/>
        </w:rPr>
        <w:t xml:space="preserve">servizi o forniture rientranti in una delle attività a maggior rischio di infiltrazione mafiosa di cui al comma 53, dell’articolo 1, della legge 6 novembre 2012, n. 190, inserire la seguente prescrizione] </w:t>
      </w:r>
      <w:r w:rsidRPr="00E64307">
        <w:rPr>
          <w:rFonts w:ascii="Titillium" w:hAnsi="Titillium" w:cs="Arial"/>
          <w:sz w:val="18"/>
          <w:szCs w:val="18"/>
        </w:rPr>
        <w:t xml:space="preserve">Gli </w:t>
      </w:r>
      <w:r w:rsidRPr="00E64307">
        <w:rPr>
          <w:rFonts w:ascii="Titillium" w:hAnsi="Titillium" w:cs="Calibri"/>
          <w:sz w:val="18"/>
          <w:szCs w:val="18"/>
        </w:rPr>
        <w:t xml:space="preserve">operatori economici </w:t>
      </w:r>
      <w:r w:rsidRPr="00E64307">
        <w:rPr>
          <w:rFonts w:ascii="Titillium" w:hAnsi="Titillium" w:cs="Arial"/>
          <w:sz w:val="18"/>
          <w:szCs w:val="18"/>
        </w:rPr>
        <w:t>devono possedere,</w:t>
      </w:r>
      <w:r w:rsidRPr="00E64307">
        <w:rPr>
          <w:rFonts w:ascii="Titillium" w:hAnsi="Titillium" w:cs="Calibri"/>
          <w:b/>
          <w:sz w:val="18"/>
          <w:szCs w:val="18"/>
        </w:rPr>
        <w:t xml:space="preserve"> </w:t>
      </w:r>
      <w:r w:rsidRPr="00E64307">
        <w:rPr>
          <w:rFonts w:ascii="Titillium" w:hAnsi="Titillium" w:cs="Calibri"/>
          <w:sz w:val="18"/>
          <w:szCs w:val="18"/>
        </w:rPr>
        <w:t>pena l’esclusione dalla gara,</w:t>
      </w:r>
      <w:r w:rsidRPr="00E64307">
        <w:rPr>
          <w:rFonts w:ascii="Titillium" w:hAnsi="Titillium" w:cs="Arial"/>
          <w:sz w:val="18"/>
          <w:szCs w:val="18"/>
        </w:rPr>
        <w:t xml:space="preserve"> l’iscrizione nell’elenco dei fornitori, prestatori di servizi ed esecutori di lavori non soggetti a tentativo di infiltrazione mafiosa (cosiddetta </w:t>
      </w:r>
      <w:r w:rsidRPr="00E64307">
        <w:rPr>
          <w:rFonts w:ascii="Titillium" w:hAnsi="Titillium" w:cs="Arial"/>
          <w:i/>
          <w:sz w:val="18"/>
          <w:szCs w:val="18"/>
        </w:rPr>
        <w:t>white list</w:t>
      </w:r>
      <w:r w:rsidRPr="00E64307">
        <w:rPr>
          <w:rFonts w:ascii="Titillium" w:hAnsi="Titillium" w:cs="Arial"/>
          <w:sz w:val="18"/>
          <w:szCs w:val="18"/>
        </w:rPr>
        <w:t>) istituito presso la Prefettura della provincia in cui l’operatore economico ha la propria sede oppure devono aver presentato domanda di iscrizione al predetto elenco.</w:t>
      </w:r>
    </w:p>
    <w:p w14:paraId="6147DF0A" w14:textId="77777777" w:rsidR="00CA40EB" w:rsidRPr="00E64307" w:rsidRDefault="00CA40EB" w:rsidP="00E64307">
      <w:pPr>
        <w:spacing w:before="120" w:after="60"/>
        <w:rPr>
          <w:rFonts w:ascii="Titillium" w:hAnsi="Titillium" w:cs="Calibri"/>
          <w:sz w:val="18"/>
          <w:szCs w:val="18"/>
        </w:rPr>
      </w:pPr>
      <w:r w:rsidRPr="00E64307">
        <w:rPr>
          <w:rFonts w:ascii="Titillium" w:hAnsi="Titillium" w:cs="Arial"/>
          <w:b/>
          <w:i/>
          <w:sz w:val="18"/>
          <w:szCs w:val="18"/>
        </w:rPr>
        <w:t>[</w:t>
      </w:r>
      <w:r w:rsidRPr="00E64307">
        <w:rPr>
          <w:rFonts w:ascii="Titillium" w:hAnsi="Titillium" w:cs="Arial"/>
          <w:b/>
          <w:bCs/>
          <w:i/>
          <w:sz w:val="18"/>
          <w:szCs w:val="18"/>
        </w:rPr>
        <w:t>Eventuale ove presente protocollo di legalità/patto di integrità</w:t>
      </w:r>
      <w:r w:rsidRPr="00E64307">
        <w:rPr>
          <w:rFonts w:ascii="Titillium" w:hAnsi="Titillium" w:cs="Arial"/>
          <w:b/>
          <w:i/>
          <w:sz w:val="18"/>
          <w:szCs w:val="18"/>
        </w:rPr>
        <w:t>]</w:t>
      </w:r>
      <w:r w:rsidRPr="00E64307">
        <w:rPr>
          <w:rFonts w:ascii="Titillium" w:hAnsi="Titillium" w:cs="Arial"/>
          <w:sz w:val="18"/>
          <w:szCs w:val="18"/>
        </w:rPr>
        <w:t xml:space="preserve"> La mancata accettazione delle clausole contenute nel protocollo di legalità/patto di integrità e il mancato rispetto dello stesso costituiscono causa di </w:t>
      </w:r>
      <w:r w:rsidRPr="00E64307">
        <w:rPr>
          <w:rFonts w:ascii="Titillium" w:hAnsi="Titillium" w:cs="Arial"/>
          <w:bCs/>
          <w:sz w:val="18"/>
          <w:szCs w:val="18"/>
        </w:rPr>
        <w:t xml:space="preserve">esclusione </w:t>
      </w:r>
      <w:r w:rsidRPr="00E64307">
        <w:rPr>
          <w:rFonts w:ascii="Titillium" w:hAnsi="Titillium" w:cs="Arial"/>
          <w:sz w:val="18"/>
          <w:szCs w:val="18"/>
        </w:rPr>
        <w:t>dalla gara, ai sensi dell’articolo 83 bis del decreto legislativo n. 159/2011.</w:t>
      </w:r>
      <w:r w:rsidRPr="00E64307">
        <w:rPr>
          <w:rFonts w:ascii="Titillium" w:hAnsi="Titillium" w:cs="Calibri"/>
          <w:sz w:val="18"/>
          <w:szCs w:val="18"/>
        </w:rPr>
        <w:t xml:space="preserve"> </w:t>
      </w:r>
    </w:p>
    <w:p w14:paraId="66201855" w14:textId="77777777" w:rsidR="00780D72" w:rsidRDefault="00CA40EB" w:rsidP="002B16FD">
      <w:pPr>
        <w:spacing w:after="120"/>
        <w:rPr>
          <w:rFonts w:ascii="Titillium" w:hAnsi="Titillium" w:cs="Arial"/>
          <w:b/>
          <w:bCs/>
          <w:i/>
          <w:color w:val="FF0000"/>
          <w:sz w:val="18"/>
          <w:szCs w:val="18"/>
        </w:rPr>
      </w:pPr>
      <w:r w:rsidRPr="00E64307">
        <w:rPr>
          <w:rFonts w:ascii="Titillium" w:hAnsi="Titillium" w:cs="Arial"/>
          <w:b/>
          <w:i/>
          <w:color w:val="FF0000"/>
          <w:sz w:val="18"/>
          <w:szCs w:val="18"/>
        </w:rPr>
        <w:lastRenderedPageBreak/>
        <w:t>[</w:t>
      </w:r>
      <w:r w:rsidRPr="00E64307">
        <w:rPr>
          <w:rFonts w:ascii="Titillium" w:hAnsi="Titillium" w:cs="Arial"/>
          <w:b/>
          <w:bCs/>
          <w:i/>
          <w:color w:val="FF0000"/>
          <w:sz w:val="18"/>
          <w:szCs w:val="18"/>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E64307">
        <w:rPr>
          <w:rFonts w:ascii="Titillium" w:hAnsi="Titillium" w:cs="Courier New"/>
          <w:b/>
          <w:i/>
          <w:color w:val="FF0000"/>
          <w:sz w:val="18"/>
          <w:szCs w:val="18"/>
        </w:rPr>
        <w:t>decreto legge 31 maggio 2021, n. 77, convertito, con modificazioni, dalla legge 29 luglio 2021, n. 108</w:t>
      </w:r>
      <w:r w:rsidRPr="00E64307">
        <w:rPr>
          <w:rFonts w:ascii="Titillium" w:hAnsi="Titillium" w:cs="Arial"/>
          <w:b/>
          <w:bCs/>
          <w:i/>
          <w:color w:val="FF0000"/>
          <w:sz w:val="18"/>
          <w:szCs w:val="18"/>
        </w:rPr>
        <w:t xml:space="preserve">] </w:t>
      </w:r>
      <w:r w:rsidR="002B16FD">
        <w:rPr>
          <w:rFonts w:ascii="Titillium" w:hAnsi="Titillium" w:cs="Arial"/>
          <w:b/>
          <w:bCs/>
          <w:i/>
          <w:color w:val="FF0000"/>
          <w:sz w:val="18"/>
          <w:szCs w:val="18"/>
        </w:rPr>
        <w:t xml:space="preserve"> </w:t>
      </w:r>
    </w:p>
    <w:p w14:paraId="611BF461" w14:textId="6867832C" w:rsidR="002B16FD" w:rsidRDefault="00CA40EB" w:rsidP="002B16FD">
      <w:pPr>
        <w:spacing w:after="120"/>
        <w:rPr>
          <w:rFonts w:ascii="Titillium" w:hAnsi="Titillium" w:cs="Arial"/>
          <w:b/>
          <w:bCs/>
          <w:i/>
          <w:color w:val="FF0000"/>
          <w:sz w:val="18"/>
          <w:szCs w:val="18"/>
        </w:rPr>
      </w:pPr>
      <w:r w:rsidRPr="0067706C">
        <w:rPr>
          <w:rFonts w:ascii="Titillium" w:hAnsi="Titillium" w:cs="Arial"/>
          <w:color w:val="FF0000"/>
          <w:sz w:val="18"/>
          <w:szCs w:val="18"/>
        </w:rPr>
        <w:t>Sono esclusi dalla</w:t>
      </w:r>
      <w:r w:rsidR="009A683A" w:rsidRPr="0067706C">
        <w:rPr>
          <w:rFonts w:ascii="Titillium" w:hAnsi="Titillium" w:cs="Arial"/>
          <w:color w:val="FF0000"/>
          <w:sz w:val="18"/>
          <w:szCs w:val="18"/>
        </w:rPr>
        <w:t xml:space="preserve"> procedura di</w:t>
      </w:r>
      <w:r w:rsidRPr="0067706C">
        <w:rPr>
          <w:rFonts w:ascii="Titillium" w:hAnsi="Titillium" w:cs="Arial"/>
          <w:color w:val="FF0000"/>
          <w:sz w:val="18"/>
          <w:szCs w:val="18"/>
        </w:rPr>
        <w:t xml:space="preserve"> gara </w:t>
      </w:r>
      <w:r w:rsidR="002275B9" w:rsidRPr="0067706C">
        <w:rPr>
          <w:rFonts w:ascii="Titillium" w:hAnsi="Titillium" w:cs="Arial"/>
          <w:color w:val="FF0000"/>
          <w:sz w:val="18"/>
          <w:szCs w:val="18"/>
        </w:rPr>
        <w:t xml:space="preserve"> </w:t>
      </w:r>
      <w:r w:rsidRPr="0067706C">
        <w:rPr>
          <w:rFonts w:ascii="Titillium" w:hAnsi="Titillium" w:cs="Arial"/>
          <w:color w:val="FF0000"/>
          <w:sz w:val="18"/>
          <w:szCs w:val="18"/>
        </w:rPr>
        <w:t>gli operatori economici</w:t>
      </w:r>
      <w:r w:rsidRPr="0067706C">
        <w:rPr>
          <w:rFonts w:ascii="Titillium" w:hAnsi="Titillium" w:cs="Calibri"/>
          <w:color w:val="FF0000"/>
          <w:sz w:val="18"/>
          <w:szCs w:val="18"/>
        </w:rPr>
        <w:t xml:space="preserve"> che occupano oltre cinquanta dipendenti, nel caso di omessa produzione</w:t>
      </w:r>
      <w:r w:rsidR="006801AA" w:rsidRPr="0067706C">
        <w:rPr>
          <w:rFonts w:ascii="Titillium" w:hAnsi="Titillium" w:cs="Calibri"/>
          <w:color w:val="FF0000"/>
          <w:sz w:val="18"/>
          <w:szCs w:val="18"/>
        </w:rPr>
        <w:t>,</w:t>
      </w:r>
      <w:r w:rsidRPr="0067706C">
        <w:rPr>
          <w:rFonts w:ascii="Titillium" w:hAnsi="Titillium" w:cs="Calibri"/>
          <w:color w:val="FF0000"/>
          <w:sz w:val="18"/>
          <w:szCs w:val="18"/>
        </w:rPr>
        <w:t xml:space="preserve"> al momento della presentazione dell'offerta</w:t>
      </w:r>
      <w:r w:rsidR="006801AA" w:rsidRPr="0067706C">
        <w:rPr>
          <w:rFonts w:ascii="Titillium" w:hAnsi="Titillium" w:cs="Calibri"/>
          <w:color w:val="FF0000"/>
          <w:sz w:val="18"/>
          <w:szCs w:val="18"/>
        </w:rPr>
        <w:t>,</w:t>
      </w:r>
      <w:r w:rsidRPr="0067706C">
        <w:rPr>
          <w:rFonts w:ascii="Titillium" w:hAnsi="Titillium" w:cs="Calibri"/>
          <w:color w:val="FF0000"/>
          <w:sz w:val="18"/>
          <w:szCs w:val="18"/>
        </w:rPr>
        <w:t xml:space="preserve"> di copia dell'ultimo rapporto periodico sulla situazione del personale </w:t>
      </w:r>
      <w:r w:rsidR="002275B9" w:rsidRPr="0067706C">
        <w:rPr>
          <w:rFonts w:ascii="Titillium" w:hAnsi="Titillium" w:cs="Courier New"/>
          <w:color w:val="FF0000"/>
          <w:sz w:val="18"/>
          <w:szCs w:val="18"/>
        </w:rPr>
        <w:t xml:space="preserve">maschile e femminile </w:t>
      </w:r>
      <w:r w:rsidR="009A683A" w:rsidRPr="0067706C">
        <w:rPr>
          <w:rFonts w:ascii="Titillium" w:hAnsi="Titillium" w:cs="Courier New"/>
          <w:color w:val="FF0000"/>
          <w:sz w:val="18"/>
          <w:szCs w:val="18"/>
        </w:rPr>
        <w:t xml:space="preserve">redatto </w:t>
      </w:r>
      <w:r w:rsidR="002275B9" w:rsidRPr="0067706C">
        <w:rPr>
          <w:rFonts w:ascii="Titillium" w:hAnsi="Titillium" w:cs="Courier New"/>
          <w:color w:val="FF0000"/>
          <w:sz w:val="18"/>
          <w:szCs w:val="18"/>
        </w:rPr>
        <w:t xml:space="preserve">ai sensi dell’articolo </w:t>
      </w:r>
      <w:r w:rsidRPr="0067706C">
        <w:rPr>
          <w:rFonts w:ascii="Titillium" w:hAnsi="Titillium" w:cs="Courier New"/>
          <w:color w:val="FF0000"/>
          <w:sz w:val="18"/>
          <w:szCs w:val="18"/>
        </w:rPr>
        <w:t>46</w:t>
      </w:r>
      <w:r w:rsidR="002275B9" w:rsidRPr="0067706C">
        <w:rPr>
          <w:rFonts w:ascii="Titillium" w:hAnsi="Titillium" w:cs="Courier New"/>
          <w:color w:val="FF0000"/>
          <w:sz w:val="18"/>
          <w:szCs w:val="18"/>
        </w:rPr>
        <w:t>,</w:t>
      </w:r>
      <w:r w:rsidRPr="0067706C">
        <w:rPr>
          <w:rFonts w:ascii="Titillium" w:hAnsi="Titillium" w:cs="Courier New"/>
          <w:color w:val="FF0000"/>
          <w:sz w:val="18"/>
          <w:szCs w:val="18"/>
        </w:rPr>
        <w:t xml:space="preserve"> d</w:t>
      </w:r>
      <w:r w:rsidR="002275B9" w:rsidRPr="0067706C">
        <w:rPr>
          <w:rFonts w:ascii="Titillium" w:hAnsi="Titillium" w:cs="Courier New"/>
          <w:color w:val="FF0000"/>
          <w:sz w:val="18"/>
          <w:szCs w:val="18"/>
        </w:rPr>
        <w:t xml:space="preserve">ecreto </w:t>
      </w:r>
      <w:r w:rsidRPr="0067706C">
        <w:rPr>
          <w:rFonts w:ascii="Titillium" w:hAnsi="Titillium" w:cs="Courier New"/>
          <w:color w:val="FF0000"/>
          <w:sz w:val="18"/>
          <w:szCs w:val="18"/>
        </w:rPr>
        <w:t>l</w:t>
      </w:r>
      <w:r w:rsidR="002275B9" w:rsidRPr="0067706C">
        <w:rPr>
          <w:rFonts w:ascii="Titillium" w:hAnsi="Titillium" w:cs="Courier New"/>
          <w:color w:val="FF0000"/>
          <w:sz w:val="18"/>
          <w:szCs w:val="18"/>
        </w:rPr>
        <w:t>e</w:t>
      </w:r>
      <w:r w:rsidRPr="0067706C">
        <w:rPr>
          <w:rFonts w:ascii="Titillium" w:hAnsi="Titillium" w:cs="Courier New"/>
          <w:color w:val="FF0000"/>
          <w:sz w:val="18"/>
          <w:szCs w:val="18"/>
        </w:rPr>
        <w:t>g</w:t>
      </w:r>
      <w:r w:rsidR="002275B9" w:rsidRPr="0067706C">
        <w:rPr>
          <w:rFonts w:ascii="Titillium" w:hAnsi="Titillium" w:cs="Courier New"/>
          <w:color w:val="FF0000"/>
          <w:sz w:val="18"/>
          <w:szCs w:val="18"/>
        </w:rPr>
        <w:t>i</w:t>
      </w:r>
      <w:r w:rsidRPr="0067706C">
        <w:rPr>
          <w:rFonts w:ascii="Titillium" w:hAnsi="Titillium" w:cs="Courier New"/>
          <w:color w:val="FF0000"/>
          <w:sz w:val="18"/>
          <w:szCs w:val="18"/>
        </w:rPr>
        <w:t>s</w:t>
      </w:r>
      <w:r w:rsidR="002275B9" w:rsidRPr="0067706C">
        <w:rPr>
          <w:rFonts w:ascii="Titillium" w:hAnsi="Titillium" w:cs="Courier New"/>
          <w:color w:val="FF0000"/>
          <w:sz w:val="18"/>
          <w:szCs w:val="18"/>
        </w:rPr>
        <w:t xml:space="preserve">lativo n. </w:t>
      </w:r>
      <w:r w:rsidRPr="0067706C">
        <w:rPr>
          <w:rFonts w:ascii="Titillium" w:hAnsi="Titillium" w:cs="Courier New"/>
          <w:color w:val="FF0000"/>
          <w:sz w:val="18"/>
          <w:szCs w:val="18"/>
        </w:rPr>
        <w:t>198</w:t>
      </w:r>
      <w:r w:rsidR="002275B9" w:rsidRPr="0067706C">
        <w:rPr>
          <w:rFonts w:ascii="Titillium" w:hAnsi="Titillium" w:cs="Courier New"/>
          <w:color w:val="FF0000"/>
          <w:sz w:val="18"/>
          <w:szCs w:val="18"/>
        </w:rPr>
        <w:t xml:space="preserve"> del 2</w:t>
      </w:r>
      <w:r w:rsidRPr="0067706C">
        <w:rPr>
          <w:rFonts w:ascii="Titillium" w:hAnsi="Titillium" w:cs="Courier New"/>
          <w:color w:val="FF0000"/>
          <w:sz w:val="18"/>
          <w:szCs w:val="18"/>
        </w:rPr>
        <w:t>006</w:t>
      </w:r>
      <w:r w:rsidR="00A91827" w:rsidRPr="0067706C">
        <w:rPr>
          <w:rFonts w:ascii="Titillium" w:hAnsi="Titillium" w:cs="Courier New"/>
          <w:color w:val="FF0000"/>
          <w:sz w:val="18"/>
          <w:szCs w:val="18"/>
        </w:rPr>
        <w:t>,</w:t>
      </w:r>
      <w:r w:rsidRPr="0067706C">
        <w:rPr>
          <w:rFonts w:ascii="Titillium" w:hAnsi="Titillium" w:cs="Calibri"/>
          <w:color w:val="FF0000"/>
          <w:sz w:val="18"/>
          <w:szCs w:val="18"/>
        </w:rPr>
        <w:t xml:space="preserve">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w:t>
      </w:r>
      <w:r w:rsidR="002275B9" w:rsidRPr="0067706C">
        <w:rPr>
          <w:rFonts w:ascii="Titillium" w:hAnsi="Titillium" w:cs="Calibri"/>
          <w:color w:val="FF0000"/>
          <w:sz w:val="18"/>
          <w:szCs w:val="18"/>
        </w:rPr>
        <w:t>regionale di parità</w:t>
      </w:r>
      <w:r w:rsidRPr="0067706C">
        <w:rPr>
          <w:rFonts w:ascii="Titillium" w:hAnsi="Titillium" w:cs="Calibri"/>
          <w:color w:val="FF0000"/>
          <w:sz w:val="18"/>
          <w:szCs w:val="18"/>
        </w:rPr>
        <w:t>.</w:t>
      </w:r>
      <w:r w:rsidR="002B16FD">
        <w:rPr>
          <w:rFonts w:ascii="Titillium" w:hAnsi="Titillium" w:cs="Arial"/>
          <w:b/>
          <w:bCs/>
          <w:i/>
          <w:color w:val="FF0000"/>
          <w:sz w:val="18"/>
          <w:szCs w:val="18"/>
        </w:rPr>
        <w:t xml:space="preserve"> </w:t>
      </w:r>
    </w:p>
    <w:p w14:paraId="53C27EE0" w14:textId="3296DFFE" w:rsidR="007064B4" w:rsidRPr="002B16FD" w:rsidRDefault="00F131A5" w:rsidP="002B16FD">
      <w:pPr>
        <w:spacing w:after="120"/>
        <w:rPr>
          <w:rFonts w:ascii="Titillium" w:hAnsi="Titillium" w:cs="Arial"/>
          <w:b/>
          <w:bCs/>
          <w:i/>
          <w:color w:val="FF0000"/>
          <w:sz w:val="18"/>
          <w:szCs w:val="18"/>
        </w:rPr>
      </w:pPr>
      <w:r w:rsidRPr="00A05525">
        <w:rPr>
          <w:rFonts w:ascii="Titillium" w:hAnsi="Titillium" w:cs="Calibri"/>
          <w:color w:val="FF0000"/>
          <w:sz w:val="18"/>
          <w:szCs w:val="18"/>
        </w:rPr>
        <w:t xml:space="preserve">Il concorrente si impegna, </w:t>
      </w:r>
      <w:r w:rsidRPr="00655C22">
        <w:rPr>
          <w:rFonts w:ascii="Titillium" w:hAnsi="Titillium" w:cs="Calibri"/>
          <w:color w:val="FF0000"/>
          <w:sz w:val="18"/>
          <w:szCs w:val="18"/>
          <w:u w:val="single"/>
        </w:rPr>
        <w:t xml:space="preserve">a </w:t>
      </w:r>
      <w:r w:rsidR="00D82BA3" w:rsidRPr="00655C22">
        <w:rPr>
          <w:rFonts w:ascii="Titillium" w:hAnsi="Titillium" w:cs="Calibri"/>
          <w:color w:val="FF0000"/>
          <w:sz w:val="18"/>
          <w:szCs w:val="18"/>
          <w:u w:val="single"/>
        </w:rPr>
        <w:t>pena</w:t>
      </w:r>
      <w:r w:rsidRPr="00655C22">
        <w:rPr>
          <w:rFonts w:ascii="Titillium" w:hAnsi="Titillium" w:cs="Calibri"/>
          <w:color w:val="FF0000"/>
          <w:sz w:val="18"/>
          <w:szCs w:val="18"/>
          <w:u w:val="single"/>
        </w:rPr>
        <w:t xml:space="preserve"> di esclusione</w:t>
      </w:r>
      <w:r w:rsidR="007064B4" w:rsidRPr="00A05525">
        <w:rPr>
          <w:rFonts w:ascii="Titillium" w:hAnsi="Titillium" w:cs="Arial"/>
          <w:color w:val="FF0000"/>
          <w:sz w:val="18"/>
          <w:szCs w:val="18"/>
        </w:rPr>
        <w:t>, in caso di aggiudicazione del contratto</w:t>
      </w:r>
      <w:r w:rsidR="00A05525">
        <w:rPr>
          <w:rFonts w:ascii="Titillium" w:hAnsi="Titillium" w:cs="Arial"/>
          <w:color w:val="FF0000"/>
          <w:sz w:val="18"/>
          <w:szCs w:val="18"/>
        </w:rPr>
        <w:t>,</w:t>
      </w:r>
      <w:r w:rsidR="002B16FD">
        <w:rPr>
          <w:rFonts w:ascii="Titillium" w:hAnsi="Titillium" w:cs="Arial"/>
          <w:color w:val="FF0000"/>
          <w:sz w:val="18"/>
          <w:szCs w:val="18"/>
        </w:rPr>
        <w:t xml:space="preserve"> ad ass</w:t>
      </w:r>
      <w:r w:rsidR="00D82BA3" w:rsidRPr="00A05525">
        <w:rPr>
          <w:rFonts w:ascii="Titillium" w:hAnsi="Titillium" w:cs="Arial"/>
          <w:color w:val="FF0000"/>
          <w:sz w:val="18"/>
          <w:szCs w:val="18"/>
        </w:rPr>
        <w:t>icurare</w:t>
      </w:r>
      <w:r w:rsidR="007064B4" w:rsidRPr="00A05525">
        <w:rPr>
          <w:rFonts w:ascii="Titillium" w:hAnsi="Titillium" w:cs="Arial"/>
          <w:color w:val="FF0000"/>
          <w:sz w:val="18"/>
          <w:szCs w:val="18"/>
        </w:rPr>
        <w:t>:</w:t>
      </w:r>
    </w:p>
    <w:p w14:paraId="678A4944" w14:textId="1957260D" w:rsidR="007064B4" w:rsidRDefault="00F131A5" w:rsidP="009E32A5">
      <w:pPr>
        <w:pStyle w:val="Paragrafoelenco"/>
        <w:widowControl w:val="0"/>
        <w:numPr>
          <w:ilvl w:val="0"/>
          <w:numId w:val="48"/>
        </w:numPr>
        <w:ind w:left="851" w:hanging="426"/>
        <w:rPr>
          <w:rFonts w:ascii="Titillium" w:hAnsi="Titillium" w:cs="Arial"/>
          <w:color w:val="FF0000"/>
          <w:sz w:val="18"/>
          <w:szCs w:val="18"/>
        </w:rPr>
      </w:pPr>
      <w:r w:rsidRPr="009E408C">
        <w:rPr>
          <w:rFonts w:ascii="Titillium" w:hAnsi="Titillium" w:cs="Arial"/>
          <w:color w:val="FF0000"/>
          <w:sz w:val="18"/>
          <w:szCs w:val="18"/>
        </w:rPr>
        <w:t>una quota pari al …</w:t>
      </w:r>
      <w:r w:rsidR="00A05525">
        <w:rPr>
          <w:rFonts w:ascii="Titillium" w:hAnsi="Titillium" w:cs="Arial"/>
          <w:color w:val="FF0000"/>
          <w:sz w:val="18"/>
          <w:szCs w:val="18"/>
        </w:rPr>
        <w:t xml:space="preserve">per cento [indicare la quota percentuale scelta] </w:t>
      </w:r>
      <w:r>
        <w:rPr>
          <w:rFonts w:ascii="Titillium" w:hAnsi="Titillium" w:cs="Arial"/>
          <w:color w:val="FF0000"/>
          <w:sz w:val="18"/>
          <w:szCs w:val="18"/>
        </w:rPr>
        <w:t xml:space="preserve">di </w:t>
      </w:r>
      <w:r w:rsidR="002B16FD">
        <w:rPr>
          <w:rFonts w:ascii="Titillium" w:hAnsi="Titillium" w:cs="Arial"/>
          <w:color w:val="FF0000"/>
          <w:sz w:val="18"/>
          <w:szCs w:val="18"/>
        </w:rPr>
        <w:t>occupazione giovanile</w:t>
      </w:r>
    </w:p>
    <w:p w14:paraId="2D83AC3E" w14:textId="1F7210F0" w:rsidR="007064B4" w:rsidRDefault="00F131A5" w:rsidP="009E32A5">
      <w:pPr>
        <w:pStyle w:val="Paragrafoelenco"/>
        <w:widowControl w:val="0"/>
        <w:numPr>
          <w:ilvl w:val="0"/>
          <w:numId w:val="48"/>
        </w:numPr>
        <w:ind w:left="851" w:hanging="426"/>
        <w:rPr>
          <w:rFonts w:ascii="Titillium" w:hAnsi="Titillium" w:cs="Arial"/>
          <w:color w:val="FF0000"/>
          <w:sz w:val="18"/>
          <w:szCs w:val="18"/>
        </w:rPr>
      </w:pPr>
      <w:r w:rsidRPr="009E408C">
        <w:rPr>
          <w:rFonts w:ascii="Titillium" w:hAnsi="Titillium" w:cs="Arial"/>
          <w:color w:val="FF0000"/>
          <w:sz w:val="18"/>
          <w:szCs w:val="18"/>
        </w:rPr>
        <w:t>una quota pari al …</w:t>
      </w:r>
      <w:r>
        <w:rPr>
          <w:rFonts w:ascii="Titillium" w:hAnsi="Titillium" w:cs="Arial"/>
          <w:color w:val="FF0000"/>
          <w:sz w:val="18"/>
          <w:szCs w:val="18"/>
        </w:rPr>
        <w:t xml:space="preserve"> </w:t>
      </w:r>
      <w:r w:rsidR="00A05525">
        <w:rPr>
          <w:rFonts w:ascii="Titillium" w:hAnsi="Titillium" w:cs="Arial"/>
          <w:color w:val="FF0000"/>
          <w:sz w:val="18"/>
          <w:szCs w:val="18"/>
        </w:rPr>
        <w:t>per cento [indicare la quota percentuale scelta</w:t>
      </w:r>
      <w:r w:rsidR="00BE7944">
        <w:rPr>
          <w:rFonts w:ascii="Titillium" w:hAnsi="Titillium" w:cs="Arial"/>
          <w:color w:val="FF0000"/>
          <w:sz w:val="18"/>
          <w:szCs w:val="18"/>
        </w:rPr>
        <w:t>]</w:t>
      </w:r>
      <w:r w:rsidR="00A05525">
        <w:rPr>
          <w:rFonts w:ascii="Titillium" w:hAnsi="Titillium" w:cs="Arial"/>
          <w:color w:val="FF0000"/>
          <w:sz w:val="18"/>
          <w:szCs w:val="18"/>
        </w:rPr>
        <w:t xml:space="preserve"> </w:t>
      </w:r>
      <w:r>
        <w:rPr>
          <w:rFonts w:ascii="Titillium" w:hAnsi="Titillium" w:cs="Arial"/>
          <w:color w:val="FF0000"/>
          <w:sz w:val="18"/>
          <w:szCs w:val="18"/>
        </w:rPr>
        <w:t xml:space="preserve">di </w:t>
      </w:r>
      <w:r w:rsidR="007064B4">
        <w:rPr>
          <w:rFonts w:ascii="Titillium" w:hAnsi="Titillium" w:cs="Arial"/>
          <w:color w:val="FF0000"/>
          <w:sz w:val="18"/>
          <w:szCs w:val="18"/>
        </w:rPr>
        <w:t>occupazione femminile</w:t>
      </w:r>
    </w:p>
    <w:p w14:paraId="6334557B" w14:textId="0BE6E2EC" w:rsidR="00780D72" w:rsidRPr="00655C22" w:rsidRDefault="009E408C" w:rsidP="002B16FD">
      <w:pPr>
        <w:widowControl w:val="0"/>
        <w:rPr>
          <w:rFonts w:ascii="Titillium" w:hAnsi="Titillium" w:cs="Calibri"/>
          <w:color w:val="FF0000"/>
          <w:sz w:val="20"/>
          <w:szCs w:val="20"/>
        </w:rPr>
      </w:pPr>
      <w:r w:rsidRPr="009E408C">
        <w:rPr>
          <w:rFonts w:ascii="Titillium" w:hAnsi="Titillium" w:cs="Arial"/>
          <w:color w:val="FF0000"/>
          <w:sz w:val="18"/>
          <w:szCs w:val="18"/>
        </w:rPr>
        <w:t>[</w:t>
      </w:r>
      <w:r w:rsidRPr="009E408C">
        <w:rPr>
          <w:rFonts w:ascii="Titillium" w:hAnsi="Titillium" w:cs="Arial"/>
          <w:i/>
          <w:color w:val="FF0000"/>
          <w:sz w:val="18"/>
          <w:szCs w:val="18"/>
        </w:rPr>
        <w:t>la quota percentuale scelta, deve essere almeno pari al 30 per cento</w:t>
      </w:r>
      <w:r w:rsidRPr="009E408C">
        <w:rPr>
          <w:rFonts w:ascii="Titillium" w:hAnsi="Titillium" w:cs="Arial"/>
          <w:color w:val="FF0000"/>
          <w:sz w:val="18"/>
          <w:szCs w:val="18"/>
        </w:rPr>
        <w:t>,</w:t>
      </w:r>
      <w:r w:rsidR="002B16FD">
        <w:rPr>
          <w:rFonts w:ascii="Titillium" w:hAnsi="Titillium" w:cs="Arial"/>
          <w:color w:val="FF0000"/>
          <w:sz w:val="18"/>
          <w:szCs w:val="18"/>
        </w:rPr>
        <w:t xml:space="preserve"> </w:t>
      </w:r>
      <w:r w:rsidR="00E03D46">
        <w:rPr>
          <w:rFonts w:ascii="Titillium" w:hAnsi="Titillium" w:cs="Arial"/>
          <w:color w:val="FF0000"/>
          <w:sz w:val="18"/>
          <w:szCs w:val="18"/>
        </w:rPr>
        <w:t xml:space="preserve">ovvero </w:t>
      </w:r>
      <w:r w:rsidR="00E03D46" w:rsidRPr="00CA4E71">
        <w:rPr>
          <w:rFonts w:ascii="Titillium" w:hAnsi="Titillium" w:cs="Arial"/>
          <w:i/>
          <w:color w:val="FF0000"/>
          <w:sz w:val="18"/>
          <w:szCs w:val="18"/>
        </w:rPr>
        <w:t>inferiore</w:t>
      </w:r>
      <w:r w:rsidR="00E03D46">
        <w:rPr>
          <w:rFonts w:ascii="Titillium" w:hAnsi="Titillium" w:cs="Arial"/>
          <w:i/>
          <w:color w:val="FF0000"/>
          <w:sz w:val="18"/>
          <w:szCs w:val="18"/>
        </w:rPr>
        <w:t xml:space="preserve">; in tal caso </w:t>
      </w:r>
      <w:r w:rsidR="00BE7944">
        <w:rPr>
          <w:rFonts w:ascii="Titillium" w:hAnsi="Titillium" w:cs="Arial"/>
          <w:i/>
          <w:color w:val="FF0000"/>
          <w:sz w:val="18"/>
          <w:szCs w:val="18"/>
        </w:rPr>
        <w:t xml:space="preserve">le stazioni appaltanti </w:t>
      </w:r>
      <w:r w:rsidR="00F131A5">
        <w:rPr>
          <w:rFonts w:ascii="Titillium" w:hAnsi="Titillium" w:cs="Arial"/>
          <w:i/>
          <w:color w:val="FF0000"/>
          <w:sz w:val="18"/>
          <w:szCs w:val="18"/>
        </w:rPr>
        <w:t>motivano le ragioni della</w:t>
      </w:r>
      <w:r w:rsidR="0067081B">
        <w:rPr>
          <w:rFonts w:ascii="Titillium" w:hAnsi="Titillium" w:cs="Arial"/>
          <w:i/>
          <w:color w:val="FF0000"/>
          <w:sz w:val="18"/>
          <w:szCs w:val="18"/>
        </w:rPr>
        <w:t xml:space="preserve"> deroga</w:t>
      </w:r>
      <w:r w:rsidR="00E03D46">
        <w:rPr>
          <w:rFonts w:ascii="Titillium" w:hAnsi="Titillium" w:cs="Arial"/>
          <w:i/>
          <w:color w:val="FF0000"/>
          <w:sz w:val="18"/>
          <w:szCs w:val="18"/>
        </w:rPr>
        <w:t xml:space="preserve">, </w:t>
      </w:r>
      <w:r w:rsidR="007064B4" w:rsidRPr="00CA4E71">
        <w:rPr>
          <w:rFonts w:ascii="Titillium" w:hAnsi="Titillium" w:cs="Arial"/>
          <w:i/>
          <w:color w:val="FF0000"/>
          <w:sz w:val="18"/>
          <w:szCs w:val="18"/>
        </w:rPr>
        <w:t>richiamando espressamente la determina a contrarre o l’atto immediatamente esecutivo della stessa ovvero l’atto espresso del responsabile della stazione appaltante adottato prima o contestualmente all'avvio della procedura ad evidenza pubblica, contenent</w:t>
      </w:r>
      <w:r w:rsidR="00730EF6" w:rsidRPr="00CA4E71">
        <w:rPr>
          <w:rFonts w:ascii="Titillium" w:hAnsi="Titillium" w:cs="Arial"/>
          <w:i/>
          <w:color w:val="FF0000"/>
          <w:sz w:val="18"/>
          <w:szCs w:val="18"/>
        </w:rPr>
        <w:t>i</w:t>
      </w:r>
      <w:r w:rsidR="007064B4" w:rsidRPr="00CA4E71">
        <w:rPr>
          <w:rFonts w:ascii="Titillium" w:hAnsi="Titillium" w:cs="Arial"/>
          <w:i/>
          <w:color w:val="FF0000"/>
          <w:sz w:val="18"/>
          <w:szCs w:val="18"/>
        </w:rPr>
        <w:t xml:space="preserve"> adeguata e specifica motivazione</w:t>
      </w:r>
      <w:r w:rsidR="00730EF6" w:rsidRPr="00CA4E71">
        <w:rPr>
          <w:rFonts w:ascii="Titillium" w:hAnsi="Titillium" w:cs="Arial"/>
          <w:i/>
          <w:color w:val="FF0000"/>
          <w:sz w:val="18"/>
          <w:szCs w:val="18"/>
        </w:rPr>
        <w:t xml:space="preserve"> della deroga</w:t>
      </w:r>
      <w:r w:rsidR="007064B4" w:rsidRPr="00C64C9D">
        <w:rPr>
          <w:rFonts w:ascii="Titillium" w:hAnsi="Titillium" w:cs="Arial"/>
          <w:color w:val="FF0000"/>
          <w:sz w:val="18"/>
          <w:szCs w:val="18"/>
        </w:rPr>
        <w:t>]</w:t>
      </w:r>
      <w:r w:rsidR="00F131A5" w:rsidRPr="00F131A5">
        <w:rPr>
          <w:rFonts w:ascii="Titillium" w:hAnsi="Titillium" w:cs="Arial"/>
          <w:color w:val="FF0000"/>
          <w:sz w:val="18"/>
          <w:szCs w:val="18"/>
        </w:rPr>
        <w:t xml:space="preserve"> </w:t>
      </w:r>
      <w:r w:rsidR="00F131A5" w:rsidRPr="009E408C">
        <w:rPr>
          <w:rFonts w:ascii="Titillium" w:hAnsi="Titillium" w:cs="Arial"/>
          <w:color w:val="FF0000"/>
          <w:sz w:val="18"/>
          <w:szCs w:val="18"/>
        </w:rPr>
        <w:t xml:space="preserve">delle assunzioni necessarie per l'esecuzione del contratto o per la realizzazione di attività ad esso connesse o </w:t>
      </w:r>
      <w:r w:rsidR="00F131A5" w:rsidRPr="00780D72">
        <w:rPr>
          <w:rFonts w:ascii="Titillium" w:hAnsi="Titillium" w:cs="Arial"/>
          <w:color w:val="FF0000"/>
          <w:sz w:val="18"/>
          <w:szCs w:val="18"/>
        </w:rPr>
        <w:t>strumentali</w:t>
      </w:r>
      <w:r w:rsidR="00780D72">
        <w:rPr>
          <w:rFonts w:ascii="Titillium" w:hAnsi="Titillium" w:cs="Arial"/>
          <w:color w:val="FF0000"/>
          <w:sz w:val="18"/>
          <w:szCs w:val="18"/>
        </w:rPr>
        <w:t xml:space="preserve"> [</w:t>
      </w:r>
      <w:r w:rsidR="00E145A4" w:rsidRPr="00780D72">
        <w:rPr>
          <w:rFonts w:ascii="Titillium" w:hAnsi="Titillium" w:cs="Arial"/>
          <w:color w:val="FF0000"/>
          <w:sz w:val="18"/>
          <w:szCs w:val="18"/>
        </w:rPr>
        <w:t>calcolate secondo le modalità di cui al</w:t>
      </w:r>
      <w:r w:rsidR="006240C7" w:rsidRPr="00780D72">
        <w:rPr>
          <w:rFonts w:ascii="Titillium" w:hAnsi="Titillium" w:cs="Arial"/>
          <w:color w:val="FF0000"/>
          <w:sz w:val="18"/>
          <w:szCs w:val="18"/>
        </w:rPr>
        <w:t xml:space="preserve">le </w:t>
      </w:r>
      <w:r w:rsidR="006240C7" w:rsidRPr="00780D72">
        <w:rPr>
          <w:rFonts w:ascii="Titillium" w:hAnsi="Titillium" w:cs="Arial"/>
          <w:i/>
          <w:color w:val="FF0000"/>
          <w:sz w:val="18"/>
          <w:szCs w:val="18"/>
        </w:rPr>
        <w:t>linee guida approvate con Decreto ministeriale della Presidenza del Consiglio dei Ministri, Dipartimento</w:t>
      </w:r>
      <w:r w:rsidR="006240C7" w:rsidRPr="008E5D34">
        <w:rPr>
          <w:rFonts w:ascii="Titillium" w:hAnsi="Titillium" w:cs="Arial"/>
          <w:i/>
          <w:color w:val="FF0000"/>
          <w:sz w:val="18"/>
          <w:szCs w:val="18"/>
        </w:rPr>
        <w:t xml:space="preserve">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w:t>
      </w:r>
      <w:r w:rsidR="002B16FD">
        <w:rPr>
          <w:rFonts w:ascii="Titillium" w:hAnsi="Titillium" w:cs="Calibri"/>
          <w:color w:val="FF0000"/>
          <w:sz w:val="20"/>
          <w:szCs w:val="20"/>
        </w:rPr>
        <w:t>, n. 309</w:t>
      </w:r>
      <w:r w:rsidR="00780D72">
        <w:rPr>
          <w:rFonts w:ascii="Titillium" w:hAnsi="Titillium" w:cs="Calibri"/>
          <w:color w:val="FF0000"/>
          <w:sz w:val="20"/>
          <w:szCs w:val="20"/>
        </w:rPr>
        <w:t>]</w:t>
      </w:r>
      <w:r w:rsidR="006240C7">
        <w:rPr>
          <w:rFonts w:ascii="Titillium" w:hAnsi="Titillium" w:cs="Calibri"/>
          <w:color w:val="FF0000"/>
          <w:sz w:val="20"/>
          <w:szCs w:val="20"/>
        </w:rPr>
        <w:t>.</w:t>
      </w:r>
    </w:p>
    <w:p w14:paraId="0EC324DB" w14:textId="098B2E41" w:rsidR="005E5146" w:rsidRPr="002B16FD" w:rsidRDefault="00A32595" w:rsidP="002B16FD">
      <w:pPr>
        <w:spacing w:before="60"/>
        <w:rPr>
          <w:rFonts w:ascii="Titillium" w:hAnsi="Titillium" w:cs="Calibri"/>
          <w:i/>
          <w:color w:val="FF0000"/>
          <w:sz w:val="18"/>
          <w:szCs w:val="18"/>
        </w:rPr>
      </w:pPr>
      <w:r w:rsidRPr="0034305D">
        <w:rPr>
          <w:rFonts w:ascii="Titillium" w:hAnsi="Titillium" w:cs="Arial"/>
          <w:color w:val="FF0000"/>
          <w:sz w:val="18"/>
          <w:szCs w:val="18"/>
        </w:rPr>
        <w:t xml:space="preserve">Sono esclusi dalla procedura di gara gli operatori economici </w:t>
      </w:r>
      <w:r w:rsidR="0034305D" w:rsidRPr="0034305D">
        <w:rPr>
          <w:rFonts w:ascii="Titillium" w:hAnsi="Titillium" w:cs="Courier New"/>
          <w:color w:val="FF0000"/>
          <w:sz w:val="18"/>
          <w:szCs w:val="18"/>
        </w:rPr>
        <w:t>che occupano un numero di dipendenti pari o superiore a quindici e non superiore a cinquanta,</w:t>
      </w:r>
      <w:r w:rsidR="0034305D" w:rsidRPr="0034305D">
        <w:rPr>
          <w:rFonts w:ascii="Titillium" w:hAnsi="Titillium" w:cs="Arial"/>
          <w:color w:val="FF0000"/>
          <w:sz w:val="18"/>
          <w:szCs w:val="18"/>
        </w:rPr>
        <w:t xml:space="preserve"> </w:t>
      </w:r>
      <w:r w:rsidR="00061583" w:rsidRPr="0034305D">
        <w:rPr>
          <w:rFonts w:ascii="Titillium" w:hAnsi="Titillium" w:cs="Arial"/>
          <w:color w:val="FF0000"/>
          <w:sz w:val="18"/>
          <w:szCs w:val="18"/>
        </w:rPr>
        <w:t>che</w:t>
      </w:r>
      <w:r w:rsidR="00D82BA3">
        <w:rPr>
          <w:rFonts w:ascii="Titillium" w:hAnsi="Titillium" w:cs="Arial"/>
          <w:color w:val="FF0000"/>
          <w:sz w:val="18"/>
          <w:szCs w:val="18"/>
        </w:rPr>
        <w:t xml:space="preserve"> nei dodici mesi precedenti al termine di presentazione del</w:t>
      </w:r>
      <w:r w:rsidR="00FF28C2">
        <w:rPr>
          <w:rFonts w:ascii="Titillium" w:hAnsi="Titillium" w:cs="Arial"/>
          <w:color w:val="FF0000"/>
          <w:sz w:val="18"/>
          <w:szCs w:val="18"/>
        </w:rPr>
        <w:t>l’</w:t>
      </w:r>
      <w:r w:rsidR="00D82BA3">
        <w:rPr>
          <w:rFonts w:ascii="Titillium" w:hAnsi="Titillium" w:cs="Arial"/>
          <w:color w:val="FF0000"/>
          <w:sz w:val="18"/>
          <w:szCs w:val="18"/>
        </w:rPr>
        <w:t>offert</w:t>
      </w:r>
      <w:r w:rsidR="00FF28C2">
        <w:rPr>
          <w:rFonts w:ascii="Titillium" w:hAnsi="Titillium" w:cs="Arial"/>
          <w:color w:val="FF0000"/>
          <w:sz w:val="18"/>
          <w:szCs w:val="18"/>
        </w:rPr>
        <w:t>a</w:t>
      </w:r>
      <w:r w:rsidR="00D82BA3">
        <w:rPr>
          <w:rFonts w:ascii="Titillium" w:hAnsi="Titillium" w:cs="Arial"/>
          <w:color w:val="FF0000"/>
          <w:sz w:val="18"/>
          <w:szCs w:val="18"/>
        </w:rPr>
        <w:t xml:space="preserve"> </w:t>
      </w:r>
      <w:r w:rsidR="00584857">
        <w:rPr>
          <w:rFonts w:ascii="Titillium" w:hAnsi="Titillium" w:cs="Arial"/>
          <w:color w:val="FF0000"/>
          <w:sz w:val="18"/>
          <w:szCs w:val="18"/>
        </w:rPr>
        <w:t xml:space="preserve">hanno omesso </w:t>
      </w:r>
      <w:r w:rsidR="00D82BA3">
        <w:rPr>
          <w:rFonts w:ascii="Titillium" w:hAnsi="Titillium" w:cs="Arial"/>
          <w:color w:val="FF0000"/>
          <w:sz w:val="18"/>
          <w:szCs w:val="18"/>
        </w:rPr>
        <w:t xml:space="preserve">di </w:t>
      </w:r>
      <w:r w:rsidR="005C15ED">
        <w:rPr>
          <w:rFonts w:ascii="Titillium" w:hAnsi="Titillium" w:cs="Arial"/>
          <w:color w:val="FF0000"/>
          <w:sz w:val="18"/>
          <w:szCs w:val="18"/>
        </w:rPr>
        <w:t>produrre</w:t>
      </w:r>
      <w:r w:rsidR="00584857">
        <w:rPr>
          <w:rFonts w:ascii="Titillium" w:hAnsi="Titillium" w:cs="Arial"/>
          <w:color w:val="FF0000"/>
          <w:sz w:val="18"/>
          <w:szCs w:val="18"/>
        </w:rPr>
        <w:t xml:space="preserve"> alla stazione appaltante</w:t>
      </w:r>
      <w:r w:rsidR="002B16FD">
        <w:rPr>
          <w:rFonts w:ascii="Titillium" w:hAnsi="Titillium" w:cs="Arial"/>
          <w:color w:val="FF0000"/>
          <w:sz w:val="18"/>
          <w:szCs w:val="18"/>
        </w:rPr>
        <w:t xml:space="preserve"> </w:t>
      </w:r>
      <w:r w:rsidR="0011773C" w:rsidRPr="007D3EA2">
        <w:rPr>
          <w:rFonts w:ascii="Titillium" w:hAnsi="Titillium" w:cs="Courier New"/>
          <w:color w:val="FF0000"/>
          <w:sz w:val="18"/>
          <w:szCs w:val="18"/>
        </w:rPr>
        <w:t>di un precedente contratto d’appalto</w:t>
      </w:r>
      <w:r w:rsidR="00584857">
        <w:rPr>
          <w:rFonts w:ascii="Titillium" w:hAnsi="Titillium" w:cs="Courier New"/>
          <w:color w:val="FF0000"/>
          <w:sz w:val="18"/>
          <w:szCs w:val="18"/>
        </w:rPr>
        <w:t>,</w:t>
      </w:r>
      <w:r w:rsidR="0011773C" w:rsidRPr="007D3EA2">
        <w:rPr>
          <w:rFonts w:ascii="Titillium" w:hAnsi="Titillium" w:cs="Courier New"/>
          <w:color w:val="FF0000"/>
          <w:sz w:val="18"/>
          <w:szCs w:val="18"/>
        </w:rPr>
        <w:t xml:space="preserve"> finanziato in tutto o in parte</w:t>
      </w:r>
      <w:r w:rsidR="0011773C">
        <w:rPr>
          <w:rFonts w:ascii="Titillium" w:hAnsi="Titillium" w:cs="Courier New"/>
          <w:color w:val="FF0000"/>
          <w:sz w:val="18"/>
          <w:szCs w:val="18"/>
        </w:rPr>
        <w:t xml:space="preserve"> con i fondi del PNRR o del PNC,</w:t>
      </w:r>
      <w:r w:rsidR="0011773C" w:rsidRPr="002B16FD">
        <w:rPr>
          <w:rFonts w:ascii="Titillium" w:hAnsi="Titillium" w:cs="Arial"/>
          <w:color w:val="FF0000"/>
          <w:sz w:val="18"/>
          <w:szCs w:val="18"/>
        </w:rPr>
        <w:t xml:space="preserve"> </w:t>
      </w:r>
      <w:r w:rsidR="00D82BA3" w:rsidRPr="002B16FD">
        <w:rPr>
          <w:rFonts w:ascii="Titillium" w:hAnsi="Titillium" w:cs="Arial"/>
          <w:color w:val="FF0000"/>
          <w:sz w:val="18"/>
          <w:szCs w:val="18"/>
        </w:rPr>
        <w:t>la relazione di cui a</w:t>
      </w:r>
      <w:r w:rsidR="0034305D" w:rsidRPr="002B16FD">
        <w:rPr>
          <w:rFonts w:ascii="Titillium" w:hAnsi="Titillium" w:cs="Arial"/>
          <w:color w:val="FF0000"/>
          <w:sz w:val="18"/>
          <w:szCs w:val="18"/>
        </w:rPr>
        <w:t xml:space="preserve">ll’articolo 47, comma </w:t>
      </w:r>
      <w:r w:rsidR="00D82BA3" w:rsidRPr="002B16FD">
        <w:rPr>
          <w:rFonts w:ascii="Titillium" w:hAnsi="Titillium" w:cs="Arial"/>
          <w:color w:val="FF0000"/>
          <w:sz w:val="18"/>
          <w:szCs w:val="18"/>
        </w:rPr>
        <w:t>3</w:t>
      </w:r>
      <w:r w:rsidR="0034305D" w:rsidRPr="002B16FD">
        <w:rPr>
          <w:rFonts w:ascii="Titillium" w:hAnsi="Titillium" w:cs="Arial"/>
          <w:color w:val="FF0000"/>
          <w:sz w:val="18"/>
          <w:szCs w:val="18"/>
        </w:rPr>
        <w:t xml:space="preserve"> </w:t>
      </w:r>
      <w:r w:rsidR="00D82BA3" w:rsidRPr="002B16FD">
        <w:rPr>
          <w:rFonts w:ascii="Titillium" w:hAnsi="Titillium" w:cs="Arial"/>
          <w:color w:val="FF0000"/>
          <w:sz w:val="18"/>
          <w:szCs w:val="18"/>
        </w:rPr>
        <w:t xml:space="preserve">del </w:t>
      </w:r>
      <w:r w:rsidR="0034305D" w:rsidRPr="002B16FD">
        <w:rPr>
          <w:rFonts w:ascii="Titillium" w:hAnsi="Titillium" w:cs="Arial"/>
          <w:color w:val="FF0000"/>
          <w:sz w:val="18"/>
          <w:szCs w:val="18"/>
        </w:rPr>
        <w:t>decreto legge n. 77 del 2021</w:t>
      </w:r>
      <w:r w:rsidR="00584857">
        <w:rPr>
          <w:rFonts w:ascii="Titillium" w:hAnsi="Titillium" w:cs="Arial"/>
          <w:color w:val="FF0000"/>
          <w:sz w:val="18"/>
          <w:szCs w:val="18"/>
        </w:rPr>
        <w:t>.</w:t>
      </w:r>
    </w:p>
    <w:tbl>
      <w:tblPr>
        <w:tblStyle w:val="Grigliatabella"/>
        <w:tblW w:w="0" w:type="auto"/>
        <w:tblLook w:val="04A0" w:firstRow="1" w:lastRow="0" w:firstColumn="1" w:lastColumn="0" w:noHBand="0" w:noVBand="1"/>
      </w:tblPr>
      <w:tblGrid>
        <w:gridCol w:w="9210"/>
      </w:tblGrid>
      <w:tr w:rsidR="00A32595" w:rsidRPr="00170F3D" w14:paraId="6D80BB17" w14:textId="77777777" w:rsidTr="00CA4E71">
        <w:trPr>
          <w:trHeight w:val="2837"/>
        </w:trPr>
        <w:tc>
          <w:tcPr>
            <w:tcW w:w="9210" w:type="dxa"/>
          </w:tcPr>
          <w:p w14:paraId="6E7DDC7E" w14:textId="303E6797" w:rsidR="00CA4E71" w:rsidRPr="00CA4E71" w:rsidRDefault="00A32595" w:rsidP="00A32595">
            <w:pPr>
              <w:spacing w:after="120"/>
              <w:rPr>
                <w:rFonts w:ascii="Titillium" w:hAnsi="Titillium" w:cs="Calibri"/>
                <w:i/>
                <w:strike/>
                <w:sz w:val="18"/>
                <w:szCs w:val="18"/>
              </w:rPr>
            </w:pPr>
            <w:r w:rsidRPr="009A1BDC">
              <w:rPr>
                <w:rFonts w:ascii="Titillium" w:hAnsi="Titillium" w:cs="Calibri"/>
                <w:i/>
                <w:strike/>
                <w:sz w:val="18"/>
                <w:szCs w:val="18"/>
              </w:rPr>
              <w:t xml:space="preserve">N.B. Per le procedure afferenti gli investimenti pubblici finanziati, in tutto o in parte, con le risorse previste dal Regolamento (UE) 2021/240 del Parlamento europeo e del Consiglio del 10 febbraio 2021 e dal Regolamento (UE) 2021/241 del Parlamento europeo e del Consiglio del 12 febbraio 2021, dal Piano nazionale per gli investimenti complementari al PNRR, di cui all'articolo 1 del decreto-legge 6 maggio 2021, n.  59, dai  programmi cofinanziati dai fondi strutturali dell’Unione Europea, le stazioni appaltanti inseriscono nei propri bandi di gara o negli avvisi o negli inviti, apposite clausole che recepiscano le nuove </w:t>
            </w:r>
            <w:r w:rsidRPr="009A1BDC">
              <w:rPr>
                <w:rFonts w:ascii="Titillium" w:hAnsi="Titillium" w:cs="Calibri"/>
                <w:b/>
                <w:i/>
                <w:strike/>
                <w:sz w:val="18"/>
                <w:szCs w:val="18"/>
              </w:rPr>
              <w:t xml:space="preserve">cause di  esclusione </w:t>
            </w:r>
            <w:r w:rsidRPr="009A1BDC">
              <w:rPr>
                <w:rFonts w:ascii="Titillium" w:hAnsi="Titillium" w:cs="Calibri"/>
                <w:i/>
                <w:strike/>
                <w:sz w:val="18"/>
                <w:szCs w:val="18"/>
              </w:rPr>
              <w:t xml:space="preserve">di cui al citato articolo 47, commi  2 e 6, ultimo periodo, secondo i modelli predisposti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ai sensi del  predetto  articolo 47, comma 8. </w:t>
            </w:r>
          </w:p>
        </w:tc>
      </w:tr>
    </w:tbl>
    <w:p w14:paraId="7F6DCDD6" w14:textId="794828E7" w:rsidR="004C53A8" w:rsidRDefault="00870286">
      <w:pPr>
        <w:pStyle w:val="Titolo2"/>
        <w:numPr>
          <w:ilvl w:val="0"/>
          <w:numId w:val="4"/>
        </w:numPr>
        <w:ind w:left="357" w:hanging="357"/>
      </w:pPr>
      <w:bookmarkStart w:id="1394" w:name="_Toc86769502"/>
      <w:bookmarkStart w:id="1395" w:name="_Toc87253509"/>
      <w:bookmarkStart w:id="1396" w:name="_Toc87253568"/>
      <w:bookmarkStart w:id="1397" w:name="_Toc86769503"/>
      <w:bookmarkStart w:id="1398" w:name="_Toc87253510"/>
      <w:bookmarkStart w:id="1399" w:name="_Toc87253569"/>
      <w:bookmarkStart w:id="1400" w:name="_Toc86769504"/>
      <w:bookmarkStart w:id="1401" w:name="_Toc87253511"/>
      <w:bookmarkStart w:id="1402" w:name="_Toc87253570"/>
      <w:bookmarkStart w:id="1403" w:name="_Ref497211510"/>
      <w:bookmarkStart w:id="1404" w:name="_Toc95495887"/>
      <w:bookmarkEnd w:id="1394"/>
      <w:bookmarkEnd w:id="1395"/>
      <w:bookmarkEnd w:id="1396"/>
      <w:bookmarkEnd w:id="1397"/>
      <w:bookmarkEnd w:id="1398"/>
      <w:bookmarkEnd w:id="1399"/>
      <w:bookmarkEnd w:id="1400"/>
      <w:bookmarkEnd w:id="1401"/>
      <w:bookmarkEnd w:id="1402"/>
      <w:r>
        <w:rPr>
          <w:rFonts w:ascii="Titillium" w:hAnsi="Titillium"/>
          <w:sz w:val="18"/>
          <w:szCs w:val="18"/>
        </w:rPr>
        <w:t xml:space="preserve">REQUISITI </w:t>
      </w:r>
      <w:r>
        <w:rPr>
          <w:rFonts w:ascii="Titillium" w:hAnsi="Titillium"/>
          <w:sz w:val="18"/>
          <w:szCs w:val="18"/>
          <w:lang w:val="it-IT"/>
        </w:rPr>
        <w:t xml:space="preserve">SPECIALI E </w:t>
      </w:r>
      <w:r>
        <w:rPr>
          <w:rFonts w:ascii="Titillium" w:hAnsi="Titillium"/>
          <w:caps w:val="0"/>
          <w:sz w:val="18"/>
          <w:szCs w:val="18"/>
          <w:lang w:val="it-IT"/>
        </w:rPr>
        <w:t>MEZZI DI PROVA</w:t>
      </w:r>
      <w:bookmarkEnd w:id="1403"/>
      <w:bookmarkEnd w:id="1404"/>
    </w:p>
    <w:p w14:paraId="327E77EA" w14:textId="77777777" w:rsidR="004C53A8" w:rsidRDefault="00870286">
      <w:pPr>
        <w:spacing w:before="60" w:after="60"/>
      </w:pPr>
      <w:r>
        <w:rPr>
          <w:rFonts w:ascii="Titillium" w:hAnsi="Titillium" w:cs="Calibri"/>
          <w:sz w:val="18"/>
          <w:szCs w:val="18"/>
        </w:rPr>
        <w:t>I concorrenti devono essere in possesso</w:t>
      </w:r>
      <w:r w:rsidRPr="00D71C8F">
        <w:rPr>
          <w:rFonts w:ascii="Titillium" w:hAnsi="Titillium" w:cs="Calibri"/>
          <w:sz w:val="18"/>
          <w:szCs w:val="18"/>
        </w:rPr>
        <w:t xml:space="preserve">, </w:t>
      </w:r>
      <w:r w:rsidRPr="00D71C8F">
        <w:rPr>
          <w:rFonts w:ascii="Titillium" w:hAnsi="Titillium" w:cs="Calibri"/>
          <w:bCs/>
          <w:sz w:val="18"/>
          <w:szCs w:val="18"/>
        </w:rPr>
        <w:t>a pena di esclusione</w:t>
      </w:r>
      <w:r w:rsidRPr="00D71C8F">
        <w:rPr>
          <w:rFonts w:ascii="Titillium" w:hAnsi="Titillium" w:cs="Calibri"/>
          <w:sz w:val="18"/>
          <w:szCs w:val="18"/>
        </w:rPr>
        <w:t>, dei</w:t>
      </w:r>
      <w:r>
        <w:rPr>
          <w:rFonts w:ascii="Titillium" w:hAnsi="Titillium" w:cs="Calibri"/>
          <w:sz w:val="18"/>
          <w:szCs w:val="18"/>
        </w:rPr>
        <w:t xml:space="preserve"> requisiti previsti nei commi seguenti. I documenti richiesti agli operatori economici ai fini della dimostrazione dei requisiti devono essere trasmessi mediante AVCpass in conformità alla delibera ANAC n. 157 del 17 febbraio 2016. </w:t>
      </w:r>
    </w:p>
    <w:p w14:paraId="38CB1883" w14:textId="4F251B34" w:rsidR="004C53A8" w:rsidRDefault="00870286">
      <w:pPr>
        <w:spacing w:before="60" w:after="60"/>
      </w:pPr>
      <w:r>
        <w:rPr>
          <w:rFonts w:ascii="Titillium" w:hAnsi="Titillium" w:cs="Calibri"/>
          <w:b/>
          <w:i/>
          <w:sz w:val="18"/>
          <w:szCs w:val="18"/>
        </w:rPr>
        <w:t xml:space="preserve">[o, in alternativa, in caso di non utilizzo di </w:t>
      </w:r>
      <w:r w:rsidR="008062A2">
        <w:rPr>
          <w:rFonts w:ascii="Titillium" w:hAnsi="Titillium" w:cs="Calibri"/>
          <w:b/>
          <w:i/>
          <w:sz w:val="18"/>
          <w:szCs w:val="18"/>
        </w:rPr>
        <w:t>AVCpass</w:t>
      </w:r>
      <w:r>
        <w:rPr>
          <w:rFonts w:ascii="Titillium" w:hAnsi="Titillium" w:cs="Calibri"/>
          <w:b/>
          <w:i/>
          <w:sz w:val="18"/>
          <w:szCs w:val="18"/>
        </w:rPr>
        <w:t>]</w:t>
      </w:r>
      <w:r>
        <w:rPr>
          <w:rFonts w:ascii="Titillium" w:hAnsi="Titillium" w:cs="Calibri"/>
          <w:sz w:val="18"/>
          <w:szCs w:val="18"/>
        </w:rPr>
        <w:t xml:space="preserve"> I concorrenti devono essere in </w:t>
      </w:r>
      <w:r w:rsidRPr="00D71C8F">
        <w:rPr>
          <w:rFonts w:ascii="Titillium" w:hAnsi="Titillium" w:cs="Calibri"/>
          <w:sz w:val="18"/>
          <w:szCs w:val="18"/>
        </w:rPr>
        <w:t xml:space="preserve">possesso, </w:t>
      </w:r>
      <w:r w:rsidRPr="00D71C8F">
        <w:rPr>
          <w:rFonts w:ascii="Titillium" w:hAnsi="Titillium" w:cs="Calibri"/>
          <w:bCs/>
          <w:sz w:val="18"/>
          <w:szCs w:val="18"/>
        </w:rPr>
        <w:t>a pena di esclusione</w:t>
      </w:r>
      <w:r w:rsidRPr="00D71C8F">
        <w:rPr>
          <w:rFonts w:ascii="Titillium" w:hAnsi="Titillium" w:cs="Calibri"/>
          <w:sz w:val="18"/>
          <w:szCs w:val="18"/>
        </w:rPr>
        <w:t>, dei</w:t>
      </w:r>
      <w:r>
        <w:rPr>
          <w:rFonts w:ascii="Titillium" w:hAnsi="Titillium" w:cs="Calibri"/>
          <w:sz w:val="18"/>
          <w:szCs w:val="18"/>
        </w:rPr>
        <w:t xml:space="preserve"> requisiti previsti nei commi seguenti. I documenti richiesti agli operatori economici ai fini della dimostrazione dei requisiti sono caricati sulla Piattaforma o in fase di presentazione della domanda o in fase di comprova degli stessi.</w:t>
      </w:r>
    </w:p>
    <w:p w14:paraId="62781E86" w14:textId="77777777" w:rsidR="004C53A8" w:rsidRDefault="004C53A8">
      <w:pPr>
        <w:spacing w:before="60" w:after="60"/>
        <w:rPr>
          <w:rFonts w:ascii="Titillium" w:hAnsi="Titillium" w:cs="Calibri"/>
          <w:sz w:val="18"/>
          <w:szCs w:val="18"/>
        </w:rPr>
      </w:pPr>
    </w:p>
    <w:tbl>
      <w:tblPr>
        <w:tblW w:w="9317" w:type="dxa"/>
        <w:tblInd w:w="-108" w:type="dxa"/>
        <w:tblLook w:val="04A0" w:firstRow="1" w:lastRow="0" w:firstColumn="1" w:lastColumn="0" w:noHBand="0" w:noVBand="1"/>
      </w:tblPr>
      <w:tblGrid>
        <w:gridCol w:w="9317"/>
      </w:tblGrid>
      <w:tr w:rsidR="004C53A8" w14:paraId="2FE202E5" w14:textId="77777777" w:rsidTr="00472411">
        <w:tc>
          <w:tcPr>
            <w:tcW w:w="9317" w:type="dxa"/>
            <w:tcBorders>
              <w:top w:val="single" w:sz="4" w:space="0" w:color="000000"/>
              <w:left w:val="single" w:sz="4" w:space="0" w:color="000000"/>
              <w:bottom w:val="single" w:sz="4" w:space="0" w:color="000000"/>
              <w:right w:val="single" w:sz="4" w:space="0" w:color="000000"/>
            </w:tcBorders>
          </w:tcPr>
          <w:p w14:paraId="3537D8B7" w14:textId="40327386" w:rsidR="004C53A8" w:rsidRPr="000E0900" w:rsidRDefault="00870286">
            <w:pPr>
              <w:spacing w:before="60" w:after="60"/>
              <w:rPr>
                <w:rFonts w:ascii="Titillium" w:hAnsi="Titillium" w:cs="Arial"/>
                <w:i/>
                <w:sz w:val="18"/>
                <w:szCs w:val="18"/>
              </w:rPr>
            </w:pPr>
            <w:r w:rsidRPr="000E0900">
              <w:rPr>
                <w:rFonts w:ascii="Titillium" w:hAnsi="Titillium" w:cs="Arial"/>
                <w:i/>
                <w:sz w:val="18"/>
                <w:szCs w:val="18"/>
              </w:rPr>
              <w:t xml:space="preserve">N.B: </w:t>
            </w:r>
            <w:r w:rsidR="00A066C2" w:rsidRPr="000E0900">
              <w:rPr>
                <w:rFonts w:ascii="Titillium" w:hAnsi="Titillium" w:cs="Arial"/>
                <w:i/>
                <w:sz w:val="18"/>
                <w:szCs w:val="18"/>
              </w:rPr>
              <w:t>L</w:t>
            </w:r>
            <w:r w:rsidRPr="000E0900">
              <w:rPr>
                <w:rFonts w:ascii="Titillium" w:hAnsi="Titillium" w:cs="Arial"/>
                <w:i/>
                <w:sz w:val="18"/>
                <w:szCs w:val="18"/>
              </w:rPr>
              <w:t>e stazioni appaltanti possono richiedere requisiti ulteriori rispetto a quelli normativamente previsti, qualora questi siano proporzionati, ragionevoli oltre che pertinenti e logicamente connessi all’oggetto dell’appalto e allo scopo perseguito.</w:t>
            </w:r>
          </w:p>
          <w:p w14:paraId="1C9CD58E" w14:textId="535A52EC" w:rsidR="004C53A8" w:rsidRPr="000E0900" w:rsidRDefault="00870286">
            <w:pPr>
              <w:spacing w:before="60" w:after="60"/>
              <w:rPr>
                <w:rFonts w:ascii="Titillium" w:hAnsi="Titillium" w:cs="Arial"/>
                <w:i/>
                <w:sz w:val="18"/>
                <w:szCs w:val="18"/>
              </w:rPr>
            </w:pPr>
            <w:r w:rsidRPr="000E0900">
              <w:rPr>
                <w:rFonts w:ascii="Titillium" w:hAnsi="Titillium" w:cs="Arial"/>
                <w:i/>
                <w:sz w:val="18"/>
                <w:szCs w:val="18"/>
              </w:rPr>
              <w:t xml:space="preserve">I requisiti speciali per partecipare alla gara devono essere </w:t>
            </w:r>
            <w:r w:rsidR="00CD254C" w:rsidRPr="000E0900">
              <w:rPr>
                <w:rFonts w:ascii="Titillium" w:hAnsi="Titillium" w:cs="Arial"/>
                <w:i/>
                <w:sz w:val="18"/>
                <w:szCs w:val="18"/>
              </w:rPr>
              <w:t xml:space="preserve">elencati </w:t>
            </w:r>
            <w:r w:rsidRPr="000E0900">
              <w:rPr>
                <w:rFonts w:ascii="Titillium" w:hAnsi="Titillium" w:cs="Arial"/>
                <w:i/>
                <w:sz w:val="18"/>
                <w:szCs w:val="18"/>
              </w:rPr>
              <w:t>esclusivamente nel disciplinare e non contenuti in altri documenti di gara.</w:t>
            </w:r>
          </w:p>
          <w:p w14:paraId="2C6E0572" w14:textId="3C866186" w:rsidR="006C567C" w:rsidRPr="004F7CD6" w:rsidRDefault="006C567C" w:rsidP="000E0900">
            <w:pPr>
              <w:spacing w:before="60" w:after="60"/>
              <w:rPr>
                <w:rFonts w:ascii="Titillium" w:hAnsi="Titillium" w:cs="Arial"/>
                <w:i/>
                <w:strike/>
                <w:sz w:val="18"/>
                <w:szCs w:val="18"/>
              </w:rPr>
            </w:pPr>
            <w:r w:rsidRPr="004F7CD6">
              <w:rPr>
                <w:rFonts w:ascii="Titillium" w:hAnsi="Titillium" w:cs="Arial"/>
                <w:i/>
                <w:strike/>
                <w:sz w:val="18"/>
                <w:szCs w:val="18"/>
              </w:rPr>
              <w:t>In relazione alle procedure afferenti gli investimenti pubblici finanziati, in tutto o in parte, con le risorse previste dal Regolamento (UE) 2021/240 del Parlamento europeo e del Consiglio del 10 febbra</w:t>
            </w:r>
            <w:r w:rsidR="004C667D" w:rsidRPr="004F7CD6">
              <w:rPr>
                <w:rFonts w:ascii="Titillium" w:hAnsi="Titillium" w:cs="Arial"/>
                <w:i/>
                <w:strike/>
                <w:sz w:val="18"/>
                <w:szCs w:val="18"/>
              </w:rPr>
              <w:t xml:space="preserve">io 2021 e dal Regolamento (UE) 2021/241 </w:t>
            </w:r>
            <w:r w:rsidRPr="004F7CD6">
              <w:rPr>
                <w:rFonts w:ascii="Titillium" w:hAnsi="Titillium" w:cs="Arial"/>
                <w:i/>
                <w:strike/>
                <w:sz w:val="18"/>
                <w:szCs w:val="18"/>
              </w:rPr>
              <w:t>del Parlamento europeo e del Consiglio</w:t>
            </w:r>
            <w:r w:rsidR="004C667D" w:rsidRPr="004F7CD6">
              <w:rPr>
                <w:rFonts w:ascii="Titillium" w:hAnsi="Titillium" w:cs="Arial"/>
                <w:i/>
                <w:strike/>
                <w:sz w:val="18"/>
                <w:szCs w:val="18"/>
              </w:rPr>
              <w:t xml:space="preserve"> del 12 febbraio 2021, nonché</w:t>
            </w:r>
            <w:r w:rsidRPr="004F7CD6">
              <w:rPr>
                <w:rFonts w:ascii="Titillium" w:hAnsi="Titillium" w:cs="Arial"/>
                <w:i/>
                <w:strike/>
                <w:sz w:val="18"/>
                <w:szCs w:val="18"/>
              </w:rPr>
              <w:t xml:space="preserve"> dal Piano </w:t>
            </w:r>
            <w:r w:rsidR="004C667D" w:rsidRPr="004F7CD6">
              <w:rPr>
                <w:rFonts w:ascii="Titillium" w:hAnsi="Titillium" w:cs="Arial"/>
                <w:i/>
                <w:strike/>
                <w:sz w:val="18"/>
                <w:szCs w:val="18"/>
              </w:rPr>
              <w:t xml:space="preserve">nazionale per gli investimenti </w:t>
            </w:r>
            <w:r w:rsidRPr="004F7CD6">
              <w:rPr>
                <w:rFonts w:ascii="Titillium" w:hAnsi="Titillium" w:cs="Arial"/>
                <w:i/>
                <w:strike/>
                <w:sz w:val="18"/>
                <w:szCs w:val="18"/>
              </w:rPr>
              <w:t>complementari al PNRR, di cui all'articolo 1 del decreto-legge 6 maggio 2021, n.  59,</w:t>
            </w:r>
            <w:r w:rsidR="00BF0DAF" w:rsidRPr="004F7CD6">
              <w:rPr>
                <w:rFonts w:ascii="Titillium" w:hAnsi="Titillium" w:cs="Arial"/>
                <w:i/>
                <w:strike/>
                <w:sz w:val="18"/>
                <w:szCs w:val="18"/>
              </w:rPr>
              <w:t xml:space="preserve"> e</w:t>
            </w:r>
            <w:r w:rsidRPr="004F7CD6">
              <w:rPr>
                <w:rFonts w:ascii="Titillium" w:hAnsi="Titillium" w:cs="Arial"/>
                <w:i/>
                <w:strike/>
                <w:sz w:val="18"/>
                <w:szCs w:val="18"/>
              </w:rPr>
              <w:t xml:space="preserve"> </w:t>
            </w:r>
            <w:r w:rsidR="00BF0DAF" w:rsidRPr="004F7CD6">
              <w:rPr>
                <w:rFonts w:ascii="Titillium" w:hAnsi="Titillium" w:cs="Arial"/>
                <w:i/>
                <w:strike/>
                <w:sz w:val="18"/>
                <w:szCs w:val="18"/>
              </w:rPr>
              <w:t>dai  programmi cofinanziati dai fondi strutturali dell’Unione Europea</w:t>
            </w:r>
            <w:r w:rsidR="00767395" w:rsidRPr="004F7CD6">
              <w:rPr>
                <w:rFonts w:ascii="Titillium" w:hAnsi="Titillium" w:cs="Arial"/>
                <w:i/>
                <w:strike/>
                <w:sz w:val="18"/>
                <w:szCs w:val="18"/>
              </w:rPr>
              <w:t>,</w:t>
            </w:r>
            <w:r w:rsidR="00BF0DAF" w:rsidRPr="004F7CD6">
              <w:rPr>
                <w:rFonts w:ascii="Titillium" w:hAnsi="Titillium" w:cs="Arial"/>
                <w:i/>
                <w:strike/>
                <w:sz w:val="18"/>
                <w:szCs w:val="18"/>
              </w:rPr>
              <w:t xml:space="preserve"> le stazioni appaltanti </w:t>
            </w:r>
            <w:r w:rsidR="00767395" w:rsidRPr="004F7CD6">
              <w:rPr>
                <w:rFonts w:ascii="Titillium" w:hAnsi="Titillium" w:cs="Arial"/>
                <w:i/>
                <w:strike/>
                <w:sz w:val="18"/>
                <w:szCs w:val="18"/>
              </w:rPr>
              <w:t>i</w:t>
            </w:r>
            <w:r w:rsidR="00BF0DAF" w:rsidRPr="004F7CD6">
              <w:rPr>
                <w:rFonts w:ascii="Titillium" w:hAnsi="Titillium" w:cs="Arial"/>
                <w:i/>
                <w:strike/>
                <w:sz w:val="18"/>
                <w:szCs w:val="18"/>
              </w:rPr>
              <w:t>nseriscono nei propri bandi di gara o negli avvisi o negli inviti, apposite clausole che preved</w:t>
            </w:r>
            <w:r w:rsidR="00673ECC" w:rsidRPr="004F7CD6">
              <w:rPr>
                <w:rFonts w:ascii="Titillium" w:hAnsi="Titillium" w:cs="Arial"/>
                <w:i/>
                <w:strike/>
                <w:sz w:val="18"/>
                <w:szCs w:val="18"/>
              </w:rPr>
              <w:t>o</w:t>
            </w:r>
            <w:r w:rsidR="00BF0DAF" w:rsidRPr="004F7CD6">
              <w:rPr>
                <w:rFonts w:ascii="Titillium" w:hAnsi="Titillium" w:cs="Arial"/>
                <w:i/>
                <w:strike/>
                <w:sz w:val="18"/>
                <w:szCs w:val="18"/>
              </w:rPr>
              <w:t>no</w:t>
            </w:r>
            <w:r w:rsidR="00670805" w:rsidRPr="004F7CD6">
              <w:rPr>
                <w:rFonts w:ascii="Titillium" w:hAnsi="Titillium" w:cs="Arial"/>
                <w:i/>
                <w:strike/>
                <w:sz w:val="18"/>
                <w:szCs w:val="18"/>
              </w:rPr>
              <w:t>,</w:t>
            </w:r>
            <w:r w:rsidR="00BF0DAF" w:rsidRPr="004F7CD6">
              <w:rPr>
                <w:rFonts w:ascii="Titillium" w:hAnsi="Titillium" w:cs="Arial"/>
                <w:i/>
                <w:strike/>
                <w:sz w:val="18"/>
                <w:szCs w:val="18"/>
              </w:rPr>
              <w:t xml:space="preserve"> ai sensi del</w:t>
            </w:r>
            <w:r w:rsidRPr="004F7CD6">
              <w:rPr>
                <w:rFonts w:ascii="Titillium" w:hAnsi="Titillium" w:cs="Arial"/>
                <w:i/>
                <w:strike/>
                <w:sz w:val="18"/>
                <w:szCs w:val="18"/>
              </w:rPr>
              <w:t>l’articolo 47, comma 4, del decreto legge n. 77/2021</w:t>
            </w:r>
            <w:r w:rsidR="00D632C4" w:rsidRPr="004F7CD6">
              <w:rPr>
                <w:rFonts w:ascii="Titillium" w:hAnsi="Titillium" w:cs="Arial"/>
                <w:i/>
                <w:strike/>
                <w:sz w:val="18"/>
                <w:szCs w:val="18"/>
              </w:rPr>
              <w:t>,</w:t>
            </w:r>
            <w:r w:rsidRPr="004F7CD6">
              <w:rPr>
                <w:rFonts w:ascii="Titillium" w:hAnsi="Titillium" w:cs="Arial"/>
                <w:i/>
                <w:strike/>
                <w:sz w:val="18"/>
                <w:szCs w:val="18"/>
              </w:rPr>
              <w:t xml:space="preserve"> requisiti orientati a promuovere l'imprenditoria giovanile, </w:t>
            </w:r>
            <w:r w:rsidR="00422ED0" w:rsidRPr="004F7CD6">
              <w:rPr>
                <w:rFonts w:ascii="Titillium" w:hAnsi="Titillium" w:cs="Arial"/>
                <w:i/>
                <w:strike/>
                <w:sz w:val="18"/>
                <w:szCs w:val="18"/>
              </w:rPr>
              <w:t xml:space="preserve">l’inclusione lavorativa delle persone disabili, </w:t>
            </w:r>
            <w:r w:rsidRPr="004F7CD6">
              <w:rPr>
                <w:rFonts w:ascii="Titillium" w:hAnsi="Titillium" w:cs="Arial"/>
                <w:i/>
                <w:strike/>
                <w:sz w:val="18"/>
                <w:szCs w:val="18"/>
              </w:rPr>
              <w:t xml:space="preserve">la </w:t>
            </w:r>
            <w:r w:rsidR="00AF601A" w:rsidRPr="004F7CD6">
              <w:rPr>
                <w:rFonts w:ascii="Titillium" w:hAnsi="Titillium" w:cs="Arial"/>
                <w:i/>
                <w:strike/>
                <w:sz w:val="18"/>
                <w:szCs w:val="18"/>
              </w:rPr>
              <w:t>parità</w:t>
            </w:r>
            <w:r w:rsidRPr="004F7CD6">
              <w:rPr>
                <w:rFonts w:ascii="Titillium" w:hAnsi="Titillium" w:cs="Arial"/>
                <w:i/>
                <w:strike/>
                <w:sz w:val="18"/>
                <w:szCs w:val="18"/>
              </w:rPr>
              <w:t xml:space="preserve"> di genere e l'assunzione di giovani, con </w:t>
            </w:r>
            <w:r w:rsidR="00AF601A" w:rsidRPr="004F7CD6">
              <w:rPr>
                <w:rFonts w:ascii="Titillium" w:hAnsi="Titillium" w:cs="Arial"/>
                <w:i/>
                <w:strike/>
                <w:sz w:val="18"/>
                <w:szCs w:val="18"/>
              </w:rPr>
              <w:t>età</w:t>
            </w:r>
            <w:r w:rsidRPr="004F7CD6">
              <w:rPr>
                <w:rFonts w:ascii="Titillium" w:hAnsi="Titillium" w:cs="Arial"/>
                <w:i/>
                <w:strike/>
                <w:sz w:val="18"/>
                <w:szCs w:val="18"/>
              </w:rPr>
              <w:t xml:space="preserve"> inferiore a trentasei anni, donne</w:t>
            </w:r>
            <w:r w:rsidR="00BF0DAF" w:rsidRPr="004F7CD6">
              <w:rPr>
                <w:rFonts w:ascii="Titillium" w:hAnsi="Titillium" w:cs="Arial"/>
                <w:i/>
                <w:strike/>
                <w:sz w:val="18"/>
                <w:szCs w:val="18"/>
              </w:rPr>
              <w:t xml:space="preserve">, </w:t>
            </w:r>
            <w:r w:rsidR="00670805" w:rsidRPr="004F7CD6">
              <w:rPr>
                <w:rFonts w:ascii="Titillium" w:hAnsi="Titillium" w:cs="Arial"/>
                <w:i/>
                <w:strike/>
                <w:sz w:val="18"/>
                <w:szCs w:val="18"/>
              </w:rPr>
              <w:t xml:space="preserve">secondo </w:t>
            </w:r>
            <w:r w:rsidR="00BF0DAF" w:rsidRPr="004F7CD6">
              <w:rPr>
                <w:rFonts w:ascii="Titillium" w:hAnsi="Titillium" w:cs="Arial"/>
                <w:i/>
                <w:strike/>
                <w:sz w:val="18"/>
                <w:szCs w:val="18"/>
              </w:rPr>
              <w:t xml:space="preserve">i modelli predisposti con linee guida </w:t>
            </w:r>
            <w:r w:rsidR="00FC55EC" w:rsidRPr="004F7CD6">
              <w:rPr>
                <w:rFonts w:ascii="Titillium" w:hAnsi="Titillium" w:cs="Arial"/>
                <w:i/>
                <w:strike/>
                <w:sz w:val="18"/>
                <w:szCs w:val="18"/>
              </w:rPr>
              <w:t xml:space="preserve">di cui al </w:t>
            </w:r>
            <w:r w:rsidR="00BF0DAF" w:rsidRPr="004F7CD6">
              <w:rPr>
                <w:rFonts w:ascii="Titillium" w:hAnsi="Titillium" w:cs="Arial"/>
                <w:i/>
                <w:strike/>
                <w:sz w:val="18"/>
                <w:szCs w:val="18"/>
              </w:rPr>
              <w:t>citato articolo 47, comma 8</w:t>
            </w:r>
            <w:r w:rsidR="00670805" w:rsidRPr="004F7CD6">
              <w:rPr>
                <w:rFonts w:ascii="Titillium" w:hAnsi="Titillium" w:cs="Arial"/>
                <w:i/>
                <w:strike/>
                <w:sz w:val="18"/>
                <w:szCs w:val="18"/>
              </w:rPr>
              <w:t>.</w:t>
            </w:r>
            <w:r w:rsidR="00767395" w:rsidRPr="004F7CD6">
              <w:rPr>
                <w:rFonts w:ascii="Titillium" w:hAnsi="Titillium" w:cs="Arial"/>
                <w:i/>
                <w:strike/>
                <w:sz w:val="18"/>
                <w:szCs w:val="18"/>
              </w:rPr>
              <w:t xml:space="preserve"> Ai sensi dell’articolo 47, comma 7, del decreto legge </w:t>
            </w:r>
            <w:r w:rsidR="00FC55EC" w:rsidRPr="004F7CD6">
              <w:rPr>
                <w:rFonts w:ascii="Titillium" w:hAnsi="Titillium" w:cs="Arial"/>
                <w:i/>
                <w:strike/>
                <w:sz w:val="18"/>
                <w:szCs w:val="18"/>
              </w:rPr>
              <w:t xml:space="preserve">n. 77/21 le stazioni appaltanti possono escludere l'inserimento nei bandi di gara </w:t>
            </w:r>
            <w:r w:rsidR="00FC55EC" w:rsidRPr="004F7CD6">
              <w:rPr>
                <w:rFonts w:ascii="Titillium" w:hAnsi="Titillium" w:cs="Calibri"/>
                <w:i/>
                <w:strike/>
                <w:sz w:val="18"/>
                <w:szCs w:val="18"/>
              </w:rPr>
              <w:t>o negli avvisi o negli inviti</w:t>
            </w:r>
            <w:r w:rsidR="00FC55EC" w:rsidRPr="004F7CD6">
              <w:rPr>
                <w:rFonts w:ascii="Titillium" w:hAnsi="Titillium" w:cs="Arial"/>
                <w:i/>
                <w:strike/>
                <w:sz w:val="18"/>
                <w:szCs w:val="18"/>
              </w:rPr>
              <w:t xml:space="preserve"> dei predetti requisiti di partecipazione o stabilirne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di qualità  del  servizio  nonché  di ottimale impiego delle risorse pubbliche.</w:t>
            </w:r>
          </w:p>
          <w:p w14:paraId="47B96EF2" w14:textId="65186FD0" w:rsidR="00757E91" w:rsidRPr="000E0900" w:rsidRDefault="00422ED0" w:rsidP="00422ED0">
            <w:pPr>
              <w:spacing w:before="60" w:after="60"/>
            </w:pPr>
            <w:r w:rsidRPr="000E0900">
              <w:rPr>
                <w:rFonts w:ascii="Titillium" w:hAnsi="Titillium" w:cs="Arial"/>
                <w:i/>
                <w:sz w:val="18"/>
                <w:szCs w:val="18"/>
              </w:rPr>
              <w:t>In caso di suddivisione della gara in lotti , le</w:t>
            </w:r>
            <w:r w:rsidR="00757E91" w:rsidRPr="000E0900">
              <w:rPr>
                <w:rFonts w:ascii="Titillium" w:hAnsi="Titillium" w:cs="Arial"/>
                <w:i/>
                <w:sz w:val="18"/>
                <w:szCs w:val="18"/>
              </w:rPr>
              <w:t xml:space="preserve"> stazioni appaltanti specificano </w:t>
            </w:r>
            <w:r w:rsidRPr="000E0900">
              <w:rPr>
                <w:rFonts w:ascii="Titillium" w:hAnsi="Titillium" w:cs="Arial"/>
                <w:i/>
                <w:sz w:val="18"/>
                <w:szCs w:val="18"/>
              </w:rPr>
              <w:t>per ciascun requisito speciale per quale lotto è richiesto.</w:t>
            </w:r>
          </w:p>
        </w:tc>
      </w:tr>
    </w:tbl>
    <w:p w14:paraId="6D077B02" w14:textId="4AD00586" w:rsidR="004C53A8" w:rsidRDefault="004C667D">
      <w:pPr>
        <w:pStyle w:val="Titolo3"/>
        <w:numPr>
          <w:ilvl w:val="1"/>
          <w:numId w:val="4"/>
        </w:numPr>
        <w:ind w:left="426" w:hanging="426"/>
      </w:pPr>
      <w:bookmarkStart w:id="1405" w:name="_Toc497728144"/>
      <w:bookmarkStart w:id="1406" w:name="_Toc497484946"/>
      <w:bookmarkStart w:id="1407" w:name="_Toc498419731"/>
      <w:bookmarkStart w:id="1408" w:name="_Toc497831539"/>
      <w:bookmarkStart w:id="1409" w:name="_Toc95495888"/>
      <w:bookmarkEnd w:id="1405"/>
      <w:bookmarkEnd w:id="1406"/>
      <w:bookmarkEnd w:id="1407"/>
      <w:bookmarkEnd w:id="1408"/>
      <w:r>
        <w:rPr>
          <w:rFonts w:ascii="Titillium" w:hAnsi="Titillium"/>
          <w:caps w:val="0"/>
          <w:sz w:val="18"/>
          <w:szCs w:val="18"/>
          <w:lang w:val="it-IT"/>
        </w:rPr>
        <w:t>R</w:t>
      </w:r>
      <w:r>
        <w:rPr>
          <w:rFonts w:ascii="Titillium" w:hAnsi="Titillium"/>
          <w:caps w:val="0"/>
          <w:sz w:val="18"/>
          <w:szCs w:val="18"/>
        </w:rPr>
        <w:t>EQUISITI DI IDONEITÀ</w:t>
      </w:r>
      <w:bookmarkEnd w:id="1409"/>
    </w:p>
    <w:p w14:paraId="5306E8BF" w14:textId="77777777" w:rsidR="004C53A8" w:rsidRDefault="00870286">
      <w:pPr>
        <w:spacing w:before="60" w:after="60"/>
        <w:rPr>
          <w:rFonts w:ascii="Titillium" w:hAnsi="Titillium" w:cs="Calibri"/>
          <w:sz w:val="18"/>
          <w:szCs w:val="18"/>
        </w:rPr>
      </w:pPr>
      <w:r>
        <w:rPr>
          <w:rFonts w:ascii="Titillium" w:hAnsi="Titillium" w:cs="Calibri"/>
          <w:sz w:val="18"/>
          <w:szCs w:val="18"/>
        </w:rPr>
        <w:t>Costituiscono requisiti di idoneità:</w:t>
      </w:r>
    </w:p>
    <w:p w14:paraId="4B1BCC51" w14:textId="1F82FBB7" w:rsidR="004C53A8" w:rsidRDefault="00870286">
      <w:pPr>
        <w:pStyle w:val="Paragrafoelenco"/>
        <w:numPr>
          <w:ilvl w:val="0"/>
          <w:numId w:val="5"/>
        </w:numPr>
        <w:spacing w:before="60" w:after="60"/>
        <w:ind w:left="284" w:hanging="284"/>
      </w:pPr>
      <w:r>
        <w:rPr>
          <w:rFonts w:ascii="Titillium" w:hAnsi="Titillium" w:cs="Arial"/>
          <w:b/>
          <w:sz w:val="18"/>
          <w:szCs w:val="18"/>
        </w:rPr>
        <w:t>iscrizione</w:t>
      </w:r>
      <w:r>
        <w:rPr>
          <w:rFonts w:ascii="Titillium" w:hAnsi="Titillium" w:cs="Arial"/>
          <w:sz w:val="18"/>
          <w:szCs w:val="18"/>
        </w:rPr>
        <w:t xml:space="preserve"> nel R</w:t>
      </w:r>
      <w:r>
        <w:rPr>
          <w:rFonts w:ascii="Titillium" w:hAnsi="Titillium" w:cs="Calibri"/>
          <w:sz w:val="18"/>
          <w:szCs w:val="18"/>
        </w:rPr>
        <w:t>egistro delle Imprese oppure nell’Albo delle Imprese artigiane</w:t>
      </w:r>
      <w:r w:rsidR="00A55F58">
        <w:rPr>
          <w:rFonts w:ascii="Titillium" w:hAnsi="Titillium" w:cs="Calibri"/>
          <w:sz w:val="18"/>
          <w:szCs w:val="18"/>
        </w:rPr>
        <w:t xml:space="preserve"> </w:t>
      </w:r>
      <w:r>
        <w:rPr>
          <w:rFonts w:ascii="Titillium" w:hAnsi="Titillium" w:cs="Calibri"/>
          <w:sz w:val="18"/>
          <w:szCs w:val="18"/>
        </w:rPr>
        <w:t>per attività coerenti con quelle oggetto della prese</w:t>
      </w:r>
      <w:bookmarkStart w:id="1410" w:name="_Ref495411492"/>
      <w:bookmarkEnd w:id="1410"/>
      <w:r>
        <w:rPr>
          <w:rFonts w:ascii="Titillium" w:hAnsi="Titillium" w:cs="Calibri"/>
          <w:sz w:val="18"/>
          <w:szCs w:val="18"/>
        </w:rPr>
        <w:t>nte procedura di gara.</w:t>
      </w:r>
    </w:p>
    <w:p w14:paraId="047A0C9B" w14:textId="77777777" w:rsidR="004C53A8" w:rsidRDefault="00870286">
      <w:pPr>
        <w:spacing w:before="60" w:after="60"/>
        <w:ind w:left="284"/>
        <w:rPr>
          <w:rFonts w:ascii="Titillium" w:hAnsi="Titillium" w:cs="Calibri"/>
          <w:sz w:val="18"/>
          <w:szCs w:val="18"/>
        </w:rPr>
      </w:pPr>
      <w:r>
        <w:rPr>
          <w:rFonts w:ascii="Titillium" w:hAnsi="Titillium" w:cs="Calibri"/>
          <w:sz w:val="18"/>
          <w:szCs w:val="18"/>
        </w:rPr>
        <w:t>Il concorrente non stabilito in Italia ma in un altro Stato Membro o in uno dei Paesi di cui all’articolo 83, comma 3 del Codice, presenta dichiarazione giurata o secondo le modalità vigenti nello Stato nel quale è stabilito;</w:t>
      </w:r>
    </w:p>
    <w:p w14:paraId="59424D3B" w14:textId="77777777" w:rsidR="004C53A8" w:rsidRDefault="00870286">
      <w:pPr>
        <w:pStyle w:val="Paragrafoelenco"/>
        <w:numPr>
          <w:ilvl w:val="0"/>
          <w:numId w:val="5"/>
        </w:numPr>
        <w:spacing w:before="60" w:after="60"/>
        <w:ind w:left="284" w:hanging="284"/>
      </w:pPr>
      <w:bookmarkStart w:id="1411" w:name="_Ref495411511"/>
      <w:r>
        <w:rPr>
          <w:rFonts w:ascii="Titillium" w:hAnsi="Titillium" w:cs="Arial"/>
          <w:b/>
          <w:i/>
          <w:sz w:val="18"/>
          <w:szCs w:val="18"/>
        </w:rPr>
        <w:t>[se previsto dalla normativa vigente]</w:t>
      </w:r>
      <w:r>
        <w:rPr>
          <w:rFonts w:ascii="Titillium" w:hAnsi="Titillium" w:cs="Arial"/>
          <w:i/>
          <w:sz w:val="18"/>
          <w:szCs w:val="18"/>
        </w:rPr>
        <w:t xml:space="preserve"> </w:t>
      </w:r>
      <w:r>
        <w:rPr>
          <w:rFonts w:ascii="Titillium" w:hAnsi="Titillium" w:cs="Arial"/>
          <w:sz w:val="18"/>
          <w:szCs w:val="18"/>
        </w:rPr>
        <w:t xml:space="preserve">iscrizione a </w:t>
      </w:r>
      <w:r>
        <w:rPr>
          <w:rFonts w:ascii="Titillium" w:hAnsi="Titillium" w:cs="Calibri"/>
          <w:i/>
          <w:sz w:val="18"/>
          <w:szCs w:val="18"/>
        </w:rPr>
        <w:t>… [inserire iscrizioni richieste per provare l’idoneità tecnica dell’impresa es: registri o albi se prescritta dalla legislazione vigente per l’esercizio, da parte del concorrente, dell’attività oggetto di appalto]</w:t>
      </w:r>
      <w:bookmarkEnd w:id="1411"/>
    </w:p>
    <w:p w14:paraId="5F99AFBE" w14:textId="77777777" w:rsidR="004C53A8" w:rsidRDefault="00870286">
      <w:pPr>
        <w:spacing w:before="60" w:after="60"/>
        <w:ind w:left="284"/>
        <w:rPr>
          <w:rFonts w:ascii="Titillium" w:hAnsi="Titillium" w:cs="Calibri"/>
          <w:sz w:val="18"/>
          <w:szCs w:val="18"/>
        </w:rPr>
      </w:pPr>
      <w:r>
        <w:rPr>
          <w:rFonts w:ascii="Titillium" w:hAnsi="Titillium" w:cs="Calibri"/>
          <w:sz w:val="18"/>
          <w:szCs w:val="18"/>
        </w:rPr>
        <w:t>Il concorrente non stabilito in Italia ma in un altro Stato Membro o in uno dei Paesi di cui all’articolo 83, comma 3 del Codice, presenta dichiarazione giurata o secondo le modalità vigenti nello Stato nel quale è stabilito.</w:t>
      </w:r>
    </w:p>
    <w:p w14:paraId="25F7E7AA" w14:textId="70C697C1" w:rsidR="004C53A8" w:rsidRDefault="00870286">
      <w:pPr>
        <w:spacing w:before="60" w:after="60"/>
      </w:pPr>
      <w:r>
        <w:rPr>
          <w:rFonts w:ascii="Titillium" w:hAnsi="Titillium" w:cs="Calibri"/>
          <w:sz w:val="18"/>
          <w:szCs w:val="18"/>
          <w:u w:val="single"/>
        </w:rPr>
        <w:t>Per la comprova del requisito</w:t>
      </w:r>
      <w:r>
        <w:rPr>
          <w:rFonts w:ascii="Titillium" w:hAnsi="Titillium"/>
          <w:sz w:val="18"/>
          <w:szCs w:val="18"/>
        </w:rPr>
        <w:t xml:space="preserve"> </w:t>
      </w:r>
      <w:r w:rsidR="00CB0248">
        <w:rPr>
          <w:rFonts w:ascii="Titillium" w:hAnsi="Titillium"/>
          <w:sz w:val="18"/>
          <w:szCs w:val="18"/>
        </w:rPr>
        <w:t>sono</w:t>
      </w:r>
      <w:r>
        <w:rPr>
          <w:rFonts w:ascii="Titillium" w:hAnsi="Titillium"/>
          <w:sz w:val="18"/>
          <w:szCs w:val="18"/>
        </w:rPr>
        <w:t xml:space="preserve"> acquisi</w:t>
      </w:r>
      <w:r w:rsidR="00CB0248">
        <w:rPr>
          <w:rFonts w:ascii="Titillium" w:hAnsi="Titillium"/>
          <w:sz w:val="18"/>
          <w:szCs w:val="18"/>
        </w:rPr>
        <w:t>ti</w:t>
      </w:r>
      <w:r>
        <w:rPr>
          <w:rFonts w:ascii="Titillium" w:hAnsi="Titillium"/>
          <w:sz w:val="18"/>
          <w:szCs w:val="18"/>
        </w:rPr>
        <w:t xml:space="preserve"> d’ufficio i documenti in possesso di pubbliche amministrazioni, previa indicazione, da parte dell’operatore economico, degli elementi indispensabili per il reperimento delle informazioni o dei dati richiesti.</w:t>
      </w:r>
    </w:p>
    <w:p w14:paraId="327F1DDB" w14:textId="3E80D2F6" w:rsidR="004C53A8" w:rsidRDefault="004C667D">
      <w:pPr>
        <w:pStyle w:val="Titolo3"/>
        <w:numPr>
          <w:ilvl w:val="1"/>
          <w:numId w:val="4"/>
        </w:numPr>
        <w:ind w:left="426" w:hanging="426"/>
      </w:pPr>
      <w:bookmarkStart w:id="1412" w:name="_Toc484688287"/>
      <w:bookmarkStart w:id="1413" w:name="_Toc484605418"/>
      <w:bookmarkStart w:id="1414" w:name="_Toc484605294"/>
      <w:bookmarkStart w:id="1415" w:name="_Toc484526574"/>
      <w:bookmarkStart w:id="1416" w:name="_Toc484449079"/>
      <w:bookmarkStart w:id="1417" w:name="_Toc484448955"/>
      <w:bookmarkStart w:id="1418" w:name="_Toc484448831"/>
      <w:bookmarkStart w:id="1419" w:name="_Toc484448708"/>
      <w:bookmarkStart w:id="1420" w:name="_Toc484448584"/>
      <w:bookmarkStart w:id="1421" w:name="_Toc484448460"/>
      <w:bookmarkStart w:id="1422" w:name="_Toc484448336"/>
      <w:bookmarkStart w:id="1423" w:name="_Toc484448212"/>
      <w:bookmarkStart w:id="1424" w:name="_Toc484448087"/>
      <w:bookmarkStart w:id="1425" w:name="_Toc484440428"/>
      <w:bookmarkStart w:id="1426" w:name="_Toc484440068"/>
      <w:bookmarkStart w:id="1427" w:name="_Toc484439944"/>
      <w:bookmarkStart w:id="1428" w:name="_Toc484439821"/>
      <w:bookmarkStart w:id="1429" w:name="_Toc484438901"/>
      <w:bookmarkStart w:id="1430" w:name="_Toc484438777"/>
      <w:bookmarkStart w:id="1431" w:name="_Toc484438653"/>
      <w:bookmarkStart w:id="1432" w:name="_Toc484429078"/>
      <w:bookmarkStart w:id="1433" w:name="_Toc484428908"/>
      <w:bookmarkStart w:id="1434" w:name="_Toc484097736"/>
      <w:bookmarkStart w:id="1435" w:name="_Toc484011662"/>
      <w:bookmarkStart w:id="1436" w:name="_Toc484011187"/>
      <w:bookmarkStart w:id="1437" w:name="_Toc484011065"/>
      <w:bookmarkStart w:id="1438" w:name="_Toc484010943"/>
      <w:bookmarkStart w:id="1439" w:name="_Toc484010819"/>
      <w:bookmarkStart w:id="1440" w:name="_Toc484010697"/>
      <w:bookmarkStart w:id="1441" w:name="_Toc483906947"/>
      <w:bookmarkStart w:id="1442" w:name="_Toc483571570"/>
      <w:bookmarkStart w:id="1443" w:name="_Toc483571449"/>
      <w:bookmarkStart w:id="1444" w:name="_Toc483474020"/>
      <w:bookmarkStart w:id="1445" w:name="_Toc483401223"/>
      <w:bookmarkStart w:id="1446" w:name="_Toc483325744"/>
      <w:bookmarkStart w:id="1447" w:name="_Toc483316441"/>
      <w:bookmarkStart w:id="1448" w:name="_Toc483316310"/>
      <w:bookmarkStart w:id="1449" w:name="_Toc483316107"/>
      <w:bookmarkStart w:id="1450" w:name="_Toc483315902"/>
      <w:bookmarkStart w:id="1451" w:name="_Toc483302352"/>
      <w:bookmarkStart w:id="1452" w:name="_Toc485218278"/>
      <w:bookmarkStart w:id="1453" w:name="_Toc484688842"/>
      <w:bookmarkStart w:id="1454" w:name="_Ref495411575"/>
      <w:bookmarkStart w:id="1455" w:name="_Toc95495889"/>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r>
        <w:rPr>
          <w:rFonts w:ascii="Titillium" w:hAnsi="Titillium"/>
          <w:caps w:val="0"/>
          <w:sz w:val="18"/>
          <w:szCs w:val="18"/>
          <w:lang w:val="it-IT"/>
        </w:rPr>
        <w:t>R</w:t>
      </w:r>
      <w:r>
        <w:rPr>
          <w:rFonts w:ascii="Titillium" w:hAnsi="Titillium"/>
          <w:caps w:val="0"/>
          <w:sz w:val="18"/>
          <w:szCs w:val="18"/>
        </w:rPr>
        <w:t>EQUISITI DI CAPACITÀ ECONOMICA E FINANZIARIA</w:t>
      </w:r>
      <w:bookmarkEnd w:id="1454"/>
      <w:bookmarkEnd w:id="1455"/>
      <w:r>
        <w:rPr>
          <w:rFonts w:ascii="Titillium" w:hAnsi="Titillium"/>
          <w:caps w:val="0"/>
          <w:sz w:val="18"/>
          <w:szCs w:val="18"/>
          <w:lang w:val="it-IT"/>
        </w:rPr>
        <w:t xml:space="preserve"> </w:t>
      </w:r>
    </w:p>
    <w:p w14:paraId="51A91DC5" w14:textId="77777777" w:rsidR="004C53A8" w:rsidRDefault="00870286">
      <w:pPr>
        <w:spacing w:before="60" w:after="60"/>
        <w:rPr>
          <w:rFonts w:ascii="Titillium" w:hAnsi="Titillium" w:cs="Calibri"/>
          <w:sz w:val="18"/>
          <w:szCs w:val="18"/>
        </w:rPr>
      </w:pPr>
      <w:r>
        <w:rPr>
          <w:rFonts w:ascii="Titillium" w:hAnsi="Titillium" w:cs="Calibri"/>
          <w:sz w:val="18"/>
          <w:szCs w:val="18"/>
        </w:rPr>
        <w:t>I requisiti di capacità economica e finanziaria sono rappresentati da:</w:t>
      </w:r>
    </w:p>
    <w:p w14:paraId="5FE7E5C8" w14:textId="42342A27" w:rsidR="004C53A8" w:rsidRDefault="00870286">
      <w:pPr>
        <w:pStyle w:val="Paragrafoelenco"/>
        <w:numPr>
          <w:ilvl w:val="0"/>
          <w:numId w:val="5"/>
        </w:numPr>
        <w:spacing w:before="60" w:after="60"/>
        <w:ind w:left="284" w:hanging="284"/>
      </w:pPr>
      <w:r>
        <w:rPr>
          <w:rFonts w:ascii="Titillium" w:hAnsi="Titillium" w:cs="Arial"/>
          <w:b/>
          <w:i/>
          <w:sz w:val="18"/>
          <w:szCs w:val="18"/>
        </w:rPr>
        <w:t xml:space="preserve">[Facoltativo] </w:t>
      </w:r>
      <w:r w:rsidRPr="00587099">
        <w:rPr>
          <w:rFonts w:ascii="Titillium" w:hAnsi="Titillium" w:cs="Arial"/>
          <w:sz w:val="18"/>
          <w:szCs w:val="18"/>
        </w:rPr>
        <w:t>Fatturato</w:t>
      </w:r>
      <w:r w:rsidR="00A55F58" w:rsidRPr="00587099">
        <w:rPr>
          <w:rFonts w:ascii="Titillium" w:hAnsi="Titillium" w:cs="Arial"/>
          <w:sz w:val="18"/>
          <w:szCs w:val="18"/>
        </w:rPr>
        <w:t xml:space="preserve"> globale</w:t>
      </w:r>
      <w:r w:rsidRPr="00587099">
        <w:rPr>
          <w:rFonts w:ascii="Titillium" w:hAnsi="Titillium" w:cs="Arial"/>
          <w:sz w:val="18"/>
          <w:szCs w:val="18"/>
        </w:rPr>
        <w:t xml:space="preserve"> minimo</w:t>
      </w:r>
      <w:r w:rsidR="00447D79">
        <w:rPr>
          <w:rFonts w:ascii="Titillium" w:hAnsi="Titillium" w:cs="Arial"/>
          <w:sz w:val="18"/>
          <w:szCs w:val="18"/>
        </w:rPr>
        <w:t xml:space="preserve"> annuo</w:t>
      </w:r>
      <w:r w:rsidRPr="00587099">
        <w:rPr>
          <w:rFonts w:ascii="Titillium" w:hAnsi="Titillium" w:cs="Arial"/>
          <w:sz w:val="18"/>
          <w:szCs w:val="18"/>
        </w:rPr>
        <w:t xml:space="preserve"> </w:t>
      </w:r>
      <w:r>
        <w:rPr>
          <w:rFonts w:ascii="Titillium" w:hAnsi="Titillium" w:cs="Arial"/>
          <w:sz w:val="18"/>
          <w:szCs w:val="18"/>
        </w:rPr>
        <w:t>riferito a</w:t>
      </w:r>
      <w:r w:rsidR="00447D79">
        <w:rPr>
          <w:rFonts w:ascii="Titillium" w:hAnsi="Titillium" w:cs="Arial"/>
          <w:sz w:val="18"/>
          <w:szCs w:val="18"/>
        </w:rPr>
        <w:t>gli</w:t>
      </w:r>
      <w:r>
        <w:rPr>
          <w:rFonts w:ascii="Titillium" w:hAnsi="Titillium" w:cs="Arial"/>
          <w:sz w:val="18"/>
          <w:szCs w:val="18"/>
        </w:rPr>
        <w:t xml:space="preserve"> ultimi </w:t>
      </w:r>
      <w:r w:rsidR="00447D79">
        <w:rPr>
          <w:rFonts w:ascii="Titillium" w:hAnsi="Titillium" w:cs="Arial"/>
          <w:sz w:val="18"/>
          <w:szCs w:val="18"/>
        </w:rPr>
        <w:t>…</w:t>
      </w:r>
      <w:r>
        <w:rPr>
          <w:rFonts w:ascii="Titillium" w:hAnsi="Titillium" w:cs="Arial"/>
          <w:sz w:val="18"/>
          <w:szCs w:val="18"/>
        </w:rPr>
        <w:t xml:space="preserve"> </w:t>
      </w:r>
      <w:r>
        <w:rPr>
          <w:rFonts w:ascii="Titillium" w:hAnsi="Titillium" w:cs="Arial"/>
          <w:i/>
          <w:sz w:val="18"/>
          <w:szCs w:val="18"/>
        </w:rPr>
        <w:t>[indicare da uno a massimo tre]</w:t>
      </w:r>
      <w:r>
        <w:rPr>
          <w:rFonts w:ascii="Titillium" w:hAnsi="Titillium" w:cs="Arial"/>
          <w:sz w:val="18"/>
          <w:szCs w:val="18"/>
        </w:rPr>
        <w:t xml:space="preserve"> esercizi finanziari disponibili di € … IVA esclusa; tale requisito è richiesto ... </w:t>
      </w:r>
      <w:r>
        <w:rPr>
          <w:rFonts w:ascii="Titillium" w:hAnsi="Titillium" w:cs="Arial"/>
          <w:i/>
          <w:sz w:val="18"/>
          <w:szCs w:val="18"/>
        </w:rPr>
        <w:t xml:space="preserve">[indicare le precise motivazioni ai sensi dell’articolo 83, comma 5 </w:t>
      </w:r>
      <w:bookmarkStart w:id="1456" w:name="_Ref497922214"/>
      <w:bookmarkEnd w:id="1456"/>
      <w:r>
        <w:rPr>
          <w:rFonts w:ascii="Titillium" w:hAnsi="Titillium" w:cs="Arial"/>
          <w:i/>
          <w:sz w:val="18"/>
          <w:szCs w:val="18"/>
        </w:rPr>
        <w:t>del Codice]</w:t>
      </w:r>
    </w:p>
    <w:p w14:paraId="3376545C" w14:textId="04252221" w:rsidR="004C53A8" w:rsidRPr="00C11A69" w:rsidRDefault="00870286">
      <w:pPr>
        <w:rPr>
          <w:rFonts w:ascii="Titillium" w:hAnsi="Titillium" w:cs="Arial"/>
          <w:i/>
          <w:sz w:val="18"/>
          <w:szCs w:val="24"/>
        </w:rPr>
      </w:pPr>
      <w:r w:rsidRPr="00C11A69">
        <w:rPr>
          <w:rFonts w:ascii="Titillium" w:hAnsi="Titillium" w:cs="Arial"/>
          <w:i/>
          <w:sz w:val="18"/>
          <w:szCs w:val="24"/>
        </w:rPr>
        <w:t>[Nel caso di suddivisione in lotti indicare il requisito richiesto per ciascun lotto o gruppi di lotti aggiudicabili contemporaneamente</w:t>
      </w:r>
      <w:r w:rsidR="00C11A69" w:rsidRPr="00C11A69">
        <w:rPr>
          <w:rFonts w:ascii="Titillium" w:hAnsi="Titillium" w:cs="Arial"/>
          <w:i/>
          <w:sz w:val="18"/>
          <w:szCs w:val="24"/>
        </w:rPr>
        <w:t>. Nel caso in cui sia previsto un numero massimo di lotti aggiudicabili al medesimo operatore economico, il requisito richiesto deve essere commisurato al numero massimo di lotti aggiudicabili</w:t>
      </w:r>
      <w:r w:rsidRPr="00C11A69">
        <w:rPr>
          <w:rFonts w:ascii="Titillium" w:hAnsi="Titillium" w:cs="Arial"/>
          <w:i/>
          <w:sz w:val="18"/>
          <w:szCs w:val="24"/>
        </w:rPr>
        <w:t>]</w:t>
      </w:r>
      <w:r w:rsidR="00C11A69" w:rsidRPr="00C11A69">
        <w:rPr>
          <w:rFonts w:ascii="Titillium" w:hAnsi="Titillium" w:cs="Arial"/>
          <w:i/>
          <w:sz w:val="18"/>
          <w:szCs w:val="24"/>
        </w:rPr>
        <w:t>.</w:t>
      </w:r>
    </w:p>
    <w:p w14:paraId="5D8F0E88" w14:textId="7FDA6F23" w:rsidR="004C53A8" w:rsidRDefault="00870286">
      <w:r>
        <w:rPr>
          <w:rFonts w:ascii="Titillium" w:hAnsi="Titillium" w:cs="Arial"/>
          <w:sz w:val="18"/>
          <w:szCs w:val="18"/>
          <w:u w:val="single"/>
        </w:rPr>
        <w:t>La comprova del requisito</w:t>
      </w:r>
      <w:r>
        <w:rPr>
          <w:rFonts w:ascii="Titillium" w:hAnsi="Titillium" w:cs="Arial"/>
          <w:sz w:val="18"/>
          <w:szCs w:val="18"/>
        </w:rPr>
        <w:t xml:space="preserve"> è fornita mediante uno dei seguenti documenti:</w:t>
      </w:r>
    </w:p>
    <w:p w14:paraId="542D71B0" w14:textId="77777777" w:rsidR="004C53A8" w:rsidRDefault="00870286" w:rsidP="0022153A">
      <w:pPr>
        <w:pStyle w:val="Paragrafoelenco"/>
        <w:numPr>
          <w:ilvl w:val="0"/>
          <w:numId w:val="10"/>
        </w:numPr>
      </w:pPr>
      <w:r>
        <w:rPr>
          <w:rFonts w:ascii="Titillium" w:hAnsi="Titillium" w:cs="Arial"/>
          <w:sz w:val="18"/>
          <w:szCs w:val="18"/>
        </w:rPr>
        <w:t xml:space="preserve">per le </w:t>
      </w:r>
      <w:r>
        <w:rPr>
          <w:rFonts w:ascii="Titillium" w:hAnsi="Titillium" w:cs="Calibri"/>
          <w:sz w:val="18"/>
          <w:szCs w:val="18"/>
        </w:rPr>
        <w:t xml:space="preserve">società di capitali mediante bilanci, o estratti di essi, approvati alla data di scadenza del termine per la presentazione delle offerte corredati della nota integrativa; </w:t>
      </w:r>
    </w:p>
    <w:p w14:paraId="6E6F578F" w14:textId="77777777" w:rsidR="004C53A8" w:rsidRDefault="00870286" w:rsidP="0022153A">
      <w:pPr>
        <w:pStyle w:val="Paragrafoelenco"/>
        <w:numPr>
          <w:ilvl w:val="0"/>
          <w:numId w:val="10"/>
        </w:numPr>
        <w:rPr>
          <w:rFonts w:ascii="Titillium" w:hAnsi="Titillium" w:cs="Calibri"/>
          <w:sz w:val="18"/>
          <w:szCs w:val="18"/>
        </w:rPr>
      </w:pPr>
      <w:r>
        <w:rPr>
          <w:rFonts w:ascii="Titillium" w:hAnsi="Titillium" w:cs="Calibri"/>
          <w:sz w:val="18"/>
          <w:szCs w:val="18"/>
        </w:rPr>
        <w:t>per gli operatori economici costituiti in forma d’impresa individuale ovvero di società di persone mediante copia del Modello Unico o la Dichiarazione IVA;</w:t>
      </w:r>
    </w:p>
    <w:p w14:paraId="407EF4FF" w14:textId="2DBB7599" w:rsidR="004C53A8" w:rsidRPr="00AC6A6E" w:rsidRDefault="00870286" w:rsidP="0022153A">
      <w:pPr>
        <w:pStyle w:val="Paragrafoelenco"/>
        <w:numPr>
          <w:ilvl w:val="0"/>
          <w:numId w:val="10"/>
        </w:numPr>
        <w:spacing w:after="60"/>
        <w:ind w:left="419" w:hanging="357"/>
      </w:pPr>
      <w:r>
        <w:rPr>
          <w:rFonts w:ascii="Titillium" w:hAnsi="Titillium" w:cs="Calibri"/>
          <w:sz w:val="18"/>
          <w:szCs w:val="18"/>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e la tipologia (causale della fatturazione) del fatturato dichiarato in sede di partecipazione</w:t>
      </w:r>
      <w:r w:rsidR="00AC6A6E">
        <w:rPr>
          <w:rFonts w:ascii="Titillium" w:hAnsi="Titillium" w:cs="Calibri"/>
          <w:sz w:val="18"/>
          <w:szCs w:val="18"/>
        </w:rPr>
        <w:t>.</w:t>
      </w:r>
    </w:p>
    <w:p w14:paraId="6189B1C7" w14:textId="77777777" w:rsidR="004C53A8" w:rsidRDefault="00870286" w:rsidP="00A55F58">
      <w:pPr>
        <w:spacing w:after="60"/>
      </w:pPr>
      <w:r>
        <w:rPr>
          <w:rFonts w:ascii="Titillium" w:hAnsi="Titillium" w:cs="Arial"/>
          <w:sz w:val="18"/>
          <w:szCs w:val="18"/>
        </w:rPr>
        <w:t xml:space="preserve">Ove le informazioni sui fatturati non siano disponibili, per le imprese che abbiano iniziato </w:t>
      </w:r>
      <w:r w:rsidRPr="00AC6A6E">
        <w:rPr>
          <w:rFonts w:ascii="Titillium" w:hAnsi="Titillium" w:cs="Arial"/>
          <w:sz w:val="18"/>
          <w:szCs w:val="18"/>
        </w:rPr>
        <w:t>l’attività da meno di tre anni</w:t>
      </w:r>
      <w:r>
        <w:rPr>
          <w:rFonts w:ascii="Titillium" w:hAnsi="Titillium" w:cs="Arial"/>
          <w:sz w:val="18"/>
          <w:szCs w:val="18"/>
        </w:rPr>
        <w:t xml:space="preserve">, i requisiti di fatturato devono essere rapportati al periodo di attività. </w:t>
      </w:r>
    </w:p>
    <w:p w14:paraId="7A7602A5" w14:textId="4B63DDBC" w:rsidR="004C53A8" w:rsidRDefault="00870286">
      <w:pPr>
        <w:rPr>
          <w:rFonts w:ascii="Titillium" w:hAnsi="Titillium" w:cs="Arial"/>
          <w:sz w:val="18"/>
          <w:szCs w:val="18"/>
        </w:rPr>
      </w:pPr>
      <w:r w:rsidRPr="00AC6A6E">
        <w:rPr>
          <w:rFonts w:ascii="Titillium" w:hAnsi="Titillium" w:cs="Arial"/>
          <w:sz w:val="18"/>
          <w:szCs w:val="18"/>
        </w:rPr>
        <w:t>L’operatore economico, che</w:t>
      </w:r>
      <w:r w:rsidR="00AC6A6E" w:rsidRPr="00AC6A6E">
        <w:rPr>
          <w:rFonts w:ascii="Titillium" w:hAnsi="Titillium" w:cs="Arial"/>
          <w:sz w:val="18"/>
          <w:szCs w:val="18"/>
        </w:rPr>
        <w:t xml:space="preserve"> per fondati motivi</w:t>
      </w:r>
      <w:r w:rsidRPr="00AC6A6E">
        <w:rPr>
          <w:rFonts w:ascii="Titillium" w:hAnsi="Titillium" w:cs="Arial"/>
          <w:sz w:val="18"/>
          <w:szCs w:val="18"/>
        </w:rPr>
        <w:t xml:space="preserve"> non è in grado di presentare le referenze richieste, può provare la propria capacità economica e finanziaria mediante </w:t>
      </w:r>
      <w:r w:rsidR="006C5ED8" w:rsidRPr="00AC6A6E">
        <w:rPr>
          <w:rFonts w:ascii="Titillium" w:hAnsi="Titillium" w:cs="Arial"/>
          <w:sz w:val="18"/>
          <w:szCs w:val="18"/>
        </w:rPr>
        <w:t>i</w:t>
      </w:r>
      <w:r w:rsidR="00AC6A6E" w:rsidRPr="00AC6A6E">
        <w:rPr>
          <w:rFonts w:ascii="Titillium" w:hAnsi="Titillium" w:cs="Arial"/>
          <w:sz w:val="18"/>
          <w:szCs w:val="18"/>
        </w:rPr>
        <w:t xml:space="preserve">donee referenze bancarie o [ove prevista] </w:t>
      </w:r>
      <w:r w:rsidR="00AC6A6E">
        <w:rPr>
          <w:rFonts w:ascii="Titillium" w:hAnsi="Titillium" w:cs="Arial"/>
          <w:sz w:val="18"/>
          <w:szCs w:val="18"/>
        </w:rPr>
        <w:t xml:space="preserve">idonea </w:t>
      </w:r>
      <w:r w:rsidRPr="00AC6A6E">
        <w:rPr>
          <w:rFonts w:ascii="Titillium" w:hAnsi="Titillium" w:cs="Arial"/>
          <w:sz w:val="18"/>
          <w:szCs w:val="18"/>
        </w:rPr>
        <w:t>copertura assicurativa contro i rischi professionali.</w:t>
      </w:r>
    </w:p>
    <w:p w14:paraId="185D076D" w14:textId="70BEE7E1" w:rsidR="004C53A8" w:rsidRDefault="00870286">
      <w:pPr>
        <w:pStyle w:val="Paragrafoelenco"/>
        <w:numPr>
          <w:ilvl w:val="0"/>
          <w:numId w:val="5"/>
        </w:numPr>
        <w:spacing w:before="60" w:after="60"/>
        <w:ind w:left="284" w:hanging="284"/>
      </w:pPr>
      <w:r>
        <w:rPr>
          <w:rFonts w:ascii="Titillium" w:hAnsi="Titillium" w:cs="Arial"/>
          <w:b/>
          <w:i/>
          <w:sz w:val="18"/>
          <w:szCs w:val="18"/>
        </w:rPr>
        <w:t xml:space="preserve">[Facoltativo] </w:t>
      </w:r>
      <w:r w:rsidRPr="00E4634E">
        <w:rPr>
          <w:rFonts w:ascii="Titillium" w:hAnsi="Titillium" w:cs="Arial"/>
          <w:sz w:val="18"/>
          <w:szCs w:val="18"/>
        </w:rPr>
        <w:t>Fatturato specifico minimo</w:t>
      </w:r>
      <w:r w:rsidR="000F12B6">
        <w:rPr>
          <w:rFonts w:ascii="Titillium" w:hAnsi="Titillium" w:cs="Arial"/>
          <w:b/>
          <w:sz w:val="18"/>
          <w:szCs w:val="18"/>
        </w:rPr>
        <w:t xml:space="preserve"> </w:t>
      </w:r>
      <w:r w:rsidR="00447D79" w:rsidRPr="00466E61">
        <w:rPr>
          <w:rFonts w:ascii="Titillium" w:hAnsi="Titillium" w:cs="Arial"/>
          <w:sz w:val="18"/>
          <w:szCs w:val="18"/>
        </w:rPr>
        <w:t xml:space="preserve">annuo </w:t>
      </w:r>
      <w:r>
        <w:rPr>
          <w:rFonts w:ascii="Titillium" w:hAnsi="Titillium" w:cs="Arial"/>
          <w:sz w:val="18"/>
          <w:szCs w:val="18"/>
        </w:rPr>
        <w:t xml:space="preserve">nel settore di attività oggetto dell’appalto riferito </w:t>
      </w:r>
      <w:r w:rsidR="00447D79">
        <w:rPr>
          <w:rFonts w:ascii="Titillium" w:hAnsi="Titillium" w:cs="Arial"/>
          <w:sz w:val="18"/>
          <w:szCs w:val="18"/>
        </w:rPr>
        <w:t>agli</w:t>
      </w:r>
      <w:r>
        <w:rPr>
          <w:rFonts w:ascii="Titillium" w:hAnsi="Titillium" w:cs="Arial"/>
          <w:sz w:val="18"/>
          <w:szCs w:val="18"/>
        </w:rPr>
        <w:t xml:space="preserve"> ultimi ... </w:t>
      </w:r>
      <w:r>
        <w:rPr>
          <w:rFonts w:ascii="Titillium" w:hAnsi="Titillium" w:cs="Arial"/>
          <w:i/>
          <w:sz w:val="18"/>
          <w:szCs w:val="18"/>
        </w:rPr>
        <w:t>[indicare da uno a massimo tre]</w:t>
      </w:r>
      <w:r>
        <w:rPr>
          <w:rFonts w:ascii="Titillium" w:hAnsi="Titillium" w:cs="Arial"/>
          <w:sz w:val="18"/>
          <w:szCs w:val="18"/>
        </w:rPr>
        <w:t xml:space="preserve"> esercizi finanziari disponibili</w:t>
      </w:r>
      <w:bookmarkStart w:id="1457" w:name="_Ref497922361"/>
      <w:bookmarkEnd w:id="1457"/>
      <w:r>
        <w:rPr>
          <w:rFonts w:ascii="Titillium" w:hAnsi="Titillium" w:cs="Arial"/>
          <w:sz w:val="18"/>
          <w:szCs w:val="18"/>
        </w:rPr>
        <w:t xml:space="preserve"> di € ... IVA esclusa.</w:t>
      </w:r>
    </w:p>
    <w:p w14:paraId="43F2913A" w14:textId="77777777" w:rsidR="004C53A8" w:rsidRDefault="00870286">
      <w:pPr>
        <w:tabs>
          <w:tab w:val="left" w:pos="426"/>
        </w:tabs>
        <w:spacing w:before="60" w:after="60"/>
        <w:ind w:left="284"/>
      </w:pPr>
      <w:r>
        <w:rPr>
          <w:rFonts w:ascii="Titillium" w:hAnsi="Titillium" w:cs="Arial"/>
          <w:sz w:val="18"/>
          <w:szCs w:val="18"/>
        </w:rPr>
        <w:t xml:space="preserve">Il settore di attività è </w:t>
      </w:r>
      <w:r>
        <w:rPr>
          <w:rFonts w:ascii="Titillium" w:hAnsi="Titillium" w:cs="Arial"/>
          <w:i/>
          <w:sz w:val="18"/>
          <w:szCs w:val="18"/>
        </w:rPr>
        <w:t>… [il settore di attività deve essere individuato in senso ampio, quale ambito di attività in cui si inserisce l’oggetto dell’appalto e non coincidente con esso].</w:t>
      </w:r>
    </w:p>
    <w:p w14:paraId="4BBA337D" w14:textId="5B3D4772" w:rsidR="004C53A8" w:rsidRDefault="00870286">
      <w:pPr>
        <w:tabs>
          <w:tab w:val="left" w:pos="426"/>
        </w:tabs>
        <w:spacing w:before="60" w:after="60"/>
        <w:ind w:left="284"/>
        <w:rPr>
          <w:rFonts w:ascii="Titillium" w:hAnsi="Titillium" w:cs="Arial"/>
          <w:sz w:val="18"/>
          <w:szCs w:val="18"/>
        </w:rPr>
      </w:pPr>
      <w:r>
        <w:rPr>
          <w:rFonts w:ascii="Titillium" w:hAnsi="Titillium" w:cs="Arial"/>
          <w:sz w:val="18"/>
          <w:szCs w:val="18"/>
        </w:rPr>
        <w:t>Tale requisito è richiesto   … [</w:t>
      </w:r>
      <w:r>
        <w:rPr>
          <w:rFonts w:ascii="Titillium" w:hAnsi="Titillium" w:cs="Arial"/>
          <w:i/>
          <w:sz w:val="18"/>
          <w:szCs w:val="18"/>
        </w:rPr>
        <w:t>indicare le precise motivazioni ai sensi dell’articolo 83, comma 5 del Codice</w:t>
      </w:r>
      <w:r>
        <w:rPr>
          <w:rFonts w:ascii="Titillium" w:hAnsi="Titillium" w:cs="Arial"/>
          <w:sz w:val="18"/>
          <w:szCs w:val="18"/>
        </w:rPr>
        <w:t>].</w:t>
      </w:r>
      <w:bookmarkStart w:id="1458" w:name="_Ref494466919"/>
      <w:bookmarkEnd w:id="1458"/>
    </w:p>
    <w:p w14:paraId="0AF2DF31" w14:textId="73E11555" w:rsidR="004C53A8" w:rsidRDefault="00870286" w:rsidP="00325944">
      <w:pPr>
        <w:tabs>
          <w:tab w:val="left" w:pos="426"/>
        </w:tabs>
        <w:spacing w:before="60" w:after="60"/>
        <w:rPr>
          <w:rFonts w:ascii="Titillium" w:hAnsi="Titillium" w:cs="Arial"/>
          <w:i/>
          <w:sz w:val="18"/>
          <w:szCs w:val="24"/>
        </w:rPr>
      </w:pPr>
      <w:r>
        <w:rPr>
          <w:rFonts w:ascii="Titillium" w:hAnsi="Titillium" w:cs="Arial"/>
          <w:i/>
          <w:sz w:val="18"/>
          <w:szCs w:val="24"/>
        </w:rPr>
        <w:t>[Nel caso di suddivisione in lotti indicare il requisito richiesto per ciascun lotto o gruppi di lotti aggiudicabili contemporaneamente</w:t>
      </w:r>
      <w:r w:rsidR="00C11A69">
        <w:rPr>
          <w:rFonts w:ascii="Titillium" w:hAnsi="Titillium" w:cs="Arial"/>
          <w:i/>
          <w:sz w:val="18"/>
          <w:szCs w:val="24"/>
        </w:rPr>
        <w:t xml:space="preserve">. </w:t>
      </w:r>
      <w:r w:rsidR="00C11A69" w:rsidRPr="00C11A69">
        <w:rPr>
          <w:rFonts w:ascii="Titillium" w:hAnsi="Titillium" w:cs="Arial"/>
          <w:i/>
          <w:sz w:val="18"/>
          <w:szCs w:val="24"/>
        </w:rPr>
        <w:t>Nel caso in cui sia previsto un numero massimo di lotti aggiudicabili al medesimo operatore economico, il requisito richiesto deve essere commisurato al numero massimo di lotti aggiudicabili</w:t>
      </w:r>
      <w:r w:rsidRPr="00C11A69">
        <w:rPr>
          <w:rFonts w:ascii="Titillium" w:hAnsi="Titillium" w:cs="Arial"/>
          <w:i/>
          <w:sz w:val="18"/>
          <w:szCs w:val="24"/>
        </w:rPr>
        <w:t>]</w:t>
      </w:r>
      <w:r w:rsidR="00C11A69" w:rsidRPr="00C11A69">
        <w:rPr>
          <w:rFonts w:ascii="Titillium" w:hAnsi="Titillium" w:cs="Arial"/>
          <w:i/>
          <w:sz w:val="18"/>
          <w:szCs w:val="24"/>
        </w:rPr>
        <w:t>.</w:t>
      </w:r>
    </w:p>
    <w:p w14:paraId="339D683C" w14:textId="5A1A8652" w:rsidR="004C53A8" w:rsidRDefault="00870286">
      <w:pPr>
        <w:spacing w:before="60" w:after="60"/>
      </w:pPr>
      <w:r>
        <w:rPr>
          <w:rFonts w:ascii="Titillium" w:hAnsi="Titillium" w:cs="Arial"/>
          <w:sz w:val="18"/>
          <w:szCs w:val="18"/>
          <w:u w:val="single"/>
        </w:rPr>
        <w:t>La comprova del requisito</w:t>
      </w:r>
      <w:r w:rsidRPr="00325944">
        <w:rPr>
          <w:rFonts w:ascii="Titillium" w:hAnsi="Titillium" w:cs="Arial"/>
          <w:sz w:val="18"/>
          <w:szCs w:val="18"/>
        </w:rPr>
        <w:t xml:space="preserve"> </w:t>
      </w:r>
      <w:r>
        <w:rPr>
          <w:rFonts w:ascii="Titillium" w:hAnsi="Titillium" w:cs="Arial"/>
          <w:sz w:val="18"/>
          <w:szCs w:val="18"/>
        </w:rPr>
        <w:t xml:space="preserve">è fornita </w:t>
      </w:r>
      <w:r>
        <w:rPr>
          <w:rFonts w:ascii="Titillium" w:hAnsi="Titillium" w:cs="Calibri"/>
          <w:sz w:val="18"/>
          <w:szCs w:val="18"/>
        </w:rPr>
        <w:t xml:space="preserve">mediante </w:t>
      </w:r>
      <w:r>
        <w:rPr>
          <w:rFonts w:ascii="Titillium" w:hAnsi="Titillium" w:cs="Arial"/>
          <w:sz w:val="18"/>
          <w:szCs w:val="18"/>
        </w:rPr>
        <w:t>uno o più dei seguenti documenti</w:t>
      </w:r>
      <w:r>
        <w:rPr>
          <w:rFonts w:ascii="Titillium" w:hAnsi="Titillium" w:cs="Calibri"/>
          <w:sz w:val="18"/>
          <w:szCs w:val="18"/>
        </w:rPr>
        <w:t>:</w:t>
      </w:r>
    </w:p>
    <w:p w14:paraId="38B484E3" w14:textId="4BFFF460" w:rsidR="004C53A8" w:rsidRDefault="00870286" w:rsidP="0022153A">
      <w:pPr>
        <w:pStyle w:val="Paragrafoelenco"/>
        <w:numPr>
          <w:ilvl w:val="0"/>
          <w:numId w:val="10"/>
        </w:numPr>
        <w:spacing w:before="60" w:after="60"/>
        <w:ind w:left="419" w:hanging="357"/>
        <w:contextualSpacing/>
        <w:rPr>
          <w:rFonts w:ascii="Titillium" w:eastAsia="Times New Roman" w:hAnsi="Titillium"/>
          <w:sz w:val="18"/>
          <w:szCs w:val="18"/>
          <w:lang w:eastAsia="en-US"/>
        </w:rPr>
      </w:pPr>
      <w:r>
        <w:rPr>
          <w:rFonts w:ascii="Titillium" w:eastAsia="Times New Roman" w:hAnsi="Titillium"/>
          <w:sz w:val="18"/>
          <w:szCs w:val="18"/>
          <w:lang w:eastAsia="en-US"/>
        </w:rPr>
        <w:t xml:space="preserve">per le società di capitali mediante i bilanci, o estratti di essi, approvati alla data di scadenza del termine per la presentazione delle offerte corredati della nota integrativa dai quali </w:t>
      </w:r>
      <w:r w:rsidR="00D70CCA">
        <w:rPr>
          <w:rFonts w:ascii="Titillium" w:eastAsia="Times New Roman" w:hAnsi="Titillium"/>
          <w:sz w:val="18"/>
          <w:szCs w:val="18"/>
          <w:lang w:eastAsia="en-US"/>
        </w:rPr>
        <w:t>si evinca il fatturato specific</w:t>
      </w:r>
      <w:r>
        <w:rPr>
          <w:rFonts w:ascii="Titillium" w:eastAsia="Times New Roman" w:hAnsi="Titillium"/>
          <w:sz w:val="18"/>
          <w:szCs w:val="18"/>
          <w:lang w:eastAsia="en-US"/>
        </w:rPr>
        <w:t xml:space="preserve">o dichiarato; </w:t>
      </w:r>
    </w:p>
    <w:p w14:paraId="005AD00F" w14:textId="54D9CB05" w:rsidR="004C53A8" w:rsidRDefault="00870286" w:rsidP="0022153A">
      <w:pPr>
        <w:pStyle w:val="Paragrafoelenco"/>
        <w:numPr>
          <w:ilvl w:val="0"/>
          <w:numId w:val="10"/>
        </w:numPr>
        <w:spacing w:before="60" w:after="60"/>
        <w:ind w:left="419" w:hanging="357"/>
        <w:contextualSpacing/>
        <w:rPr>
          <w:rFonts w:ascii="Titillium" w:eastAsia="Times New Roman" w:hAnsi="Titillium"/>
          <w:sz w:val="18"/>
          <w:szCs w:val="18"/>
          <w:lang w:eastAsia="en-US"/>
        </w:rPr>
      </w:pPr>
      <w:r>
        <w:rPr>
          <w:rFonts w:ascii="Titillium" w:eastAsia="Times New Roman" w:hAnsi="Titillium"/>
          <w:sz w:val="18"/>
          <w:szCs w:val="18"/>
          <w:lang w:eastAsia="en-US"/>
        </w:rPr>
        <w:t>per gli operatori economici costituiti in forma d’impresa individuale ovvero di società di persone mediante il Modello Unico o la Dichiarazione IVA dai quali si evinca il fatturato specifico dichiarato;</w:t>
      </w:r>
    </w:p>
    <w:p w14:paraId="36EC8FE3" w14:textId="0C2DD948" w:rsidR="004C53A8" w:rsidRDefault="00870286" w:rsidP="0022153A">
      <w:pPr>
        <w:pStyle w:val="Paragrafoelenco"/>
        <w:numPr>
          <w:ilvl w:val="0"/>
          <w:numId w:val="10"/>
        </w:numPr>
        <w:spacing w:before="60" w:after="60"/>
        <w:ind w:left="419" w:hanging="357"/>
        <w:contextualSpacing/>
      </w:pPr>
      <w:r>
        <w:rPr>
          <w:rFonts w:ascii="Titillium" w:eastAsia="Times New Roman" w:hAnsi="Titillium"/>
          <w:sz w:val="18"/>
          <w:szCs w:val="18"/>
          <w:lang w:eastAsia="en-US"/>
        </w:rPr>
        <w:t xml:space="preserve">dichiarazione resa, ai sensi e per gli effetti dell’articolo 47 </w:t>
      </w:r>
      <w:r>
        <w:rPr>
          <w:rFonts w:ascii="Titillium" w:eastAsia="Times New Roman" w:hAnsi="Titillium" w:cs="Calibri"/>
          <w:sz w:val="18"/>
          <w:szCs w:val="18"/>
          <w:lang w:eastAsia="en-US"/>
        </w:rPr>
        <w:t xml:space="preserve">del decreto del Presidente della Repubblica </w:t>
      </w:r>
      <w:r>
        <w:rPr>
          <w:rFonts w:ascii="Titillium" w:eastAsia="Times New Roman" w:hAnsi="Titillium"/>
          <w:sz w:val="18"/>
          <w:szCs w:val="18"/>
          <w:lang w:eastAsia="en-US"/>
        </w:rPr>
        <w:t xml:space="preserve">n. 445/2000, dal soggetto o organo preposto al controllo contabile della società ove presente (sia esso il Collegio sindacale, il revisore contabile o la società di revisione), attestante la misura (importo) e la tipologia (causale della fatturazione) del fatturato specifico dichiarato in sede di partecipazione; </w:t>
      </w:r>
    </w:p>
    <w:p w14:paraId="2C58D966" w14:textId="77777777" w:rsidR="004C53A8" w:rsidRPr="00325944" w:rsidRDefault="00870286" w:rsidP="0022153A">
      <w:pPr>
        <w:pStyle w:val="Paragrafoelenco"/>
        <w:numPr>
          <w:ilvl w:val="0"/>
          <w:numId w:val="10"/>
        </w:numPr>
        <w:spacing w:before="60" w:after="60"/>
        <w:ind w:left="419" w:hanging="357"/>
        <w:contextualSpacing/>
      </w:pPr>
      <w:r w:rsidRPr="00325944">
        <w:rPr>
          <w:rFonts w:ascii="Titillium" w:eastAsia="Times New Roman" w:hAnsi="Titillium"/>
          <w:sz w:val="18"/>
          <w:szCs w:val="18"/>
          <w:lang w:eastAsia="en-US"/>
        </w:rPr>
        <w:t>copia delle fatture relative alla specifica attività da cui si ricava il fatturato specifico realizzato. Q</w:t>
      </w:r>
      <w:r w:rsidRPr="00325944">
        <w:rPr>
          <w:rFonts w:ascii="Titillium" w:eastAsia="Times New Roman" w:hAnsi="Titillium"/>
          <w:iCs/>
          <w:sz w:val="18"/>
          <w:szCs w:val="18"/>
          <w:lang w:eastAsia="en-US"/>
        </w:rPr>
        <w:t>ualora la fattura non menzioni la specifica attività o la causale riportata non sia chiara il requisito può essere dimostrato presentando anche copia dei contratti a cui le fatture si riferiscono</w:t>
      </w:r>
      <w:r w:rsidRPr="00325944">
        <w:rPr>
          <w:rFonts w:ascii="Titillium" w:eastAsia="Times New Roman" w:hAnsi="Titillium"/>
          <w:sz w:val="18"/>
          <w:szCs w:val="18"/>
          <w:lang w:eastAsia="en-US"/>
        </w:rPr>
        <w:t>;</w:t>
      </w:r>
    </w:p>
    <w:p w14:paraId="6798EF6D" w14:textId="633679D9" w:rsidR="004C53A8" w:rsidRPr="00325944" w:rsidRDefault="00870286" w:rsidP="0022153A">
      <w:pPr>
        <w:pStyle w:val="Paragrafoelenco"/>
        <w:numPr>
          <w:ilvl w:val="0"/>
          <w:numId w:val="10"/>
        </w:numPr>
        <w:spacing w:before="60" w:after="60"/>
      </w:pPr>
      <w:r w:rsidRPr="00325944">
        <w:rPr>
          <w:rFonts w:ascii="Titillium" w:eastAsia="Times New Roman" w:hAnsi="Titillium"/>
          <w:sz w:val="18"/>
          <w:szCs w:val="18"/>
          <w:lang w:eastAsia="en-US"/>
        </w:rPr>
        <w:t>certificati rilasciati dall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amministrazione/ente pubblico contraente, con 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indicazione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oggetto,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importo e del periodo di esecuzione o attestazioni rilasciate dal committente privato, con 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indicazione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oggetto,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importo e del periodo di esecuzione in originale o in copia.</w:t>
      </w:r>
    </w:p>
    <w:p w14:paraId="71260C79" w14:textId="77777777" w:rsidR="004C53A8" w:rsidRDefault="00870286" w:rsidP="00D70CCA">
      <w:pPr>
        <w:spacing w:before="60" w:after="60"/>
      </w:pPr>
      <w:r w:rsidRPr="006C5ED8">
        <w:rPr>
          <w:rFonts w:ascii="Titillium" w:hAnsi="Titillium" w:cs="Arial"/>
          <w:sz w:val="18"/>
          <w:szCs w:val="18"/>
        </w:rPr>
        <w:t>Ove le informazioni sui fatturati non siano disponibili, per le imprese che abbiano iniziato l’attività da meno di tre anni, i</w:t>
      </w:r>
      <w:r>
        <w:rPr>
          <w:rFonts w:ascii="Titillium" w:hAnsi="Titillium" w:cs="Arial"/>
          <w:sz w:val="18"/>
          <w:szCs w:val="18"/>
        </w:rPr>
        <w:t xml:space="preserve"> requisiti di fatturato devono essere rapportati al periodo di attività. </w:t>
      </w:r>
    </w:p>
    <w:p w14:paraId="26F98A74" w14:textId="2B4F7AA6" w:rsidR="00AC6A6E" w:rsidRPr="00AC6A6E" w:rsidRDefault="00E4634E" w:rsidP="00AC6A6E">
      <w:r>
        <w:rPr>
          <w:rFonts w:ascii="Titillium" w:hAnsi="Titillium" w:cs="Arial"/>
          <w:sz w:val="18"/>
          <w:szCs w:val="18"/>
        </w:rPr>
        <w:t>L’operatore economico</w:t>
      </w:r>
      <w:r w:rsidR="00AC6A6E" w:rsidRPr="00AC6A6E">
        <w:rPr>
          <w:rFonts w:ascii="Titillium" w:hAnsi="Titillium" w:cs="Arial"/>
          <w:sz w:val="18"/>
          <w:szCs w:val="18"/>
        </w:rPr>
        <w:t xml:space="preserve"> che</w:t>
      </w:r>
      <w:r>
        <w:rPr>
          <w:rFonts w:ascii="Titillium" w:hAnsi="Titillium" w:cs="Arial"/>
          <w:sz w:val="18"/>
          <w:szCs w:val="18"/>
        </w:rPr>
        <w:t>,</w:t>
      </w:r>
      <w:r w:rsidR="00AC6A6E" w:rsidRPr="00AC6A6E">
        <w:rPr>
          <w:rFonts w:ascii="Titillium" w:hAnsi="Titillium" w:cs="Arial"/>
          <w:sz w:val="18"/>
          <w:szCs w:val="18"/>
        </w:rPr>
        <w:t xml:space="preserve"> per fondati motivi</w:t>
      </w:r>
      <w:r>
        <w:rPr>
          <w:rFonts w:ascii="Titillium" w:hAnsi="Titillium" w:cs="Arial"/>
          <w:sz w:val="18"/>
          <w:szCs w:val="18"/>
        </w:rPr>
        <w:t>,</w:t>
      </w:r>
      <w:r w:rsidR="00AC6A6E" w:rsidRPr="00AC6A6E">
        <w:rPr>
          <w:rFonts w:ascii="Titillium" w:hAnsi="Titillium" w:cs="Arial"/>
          <w:sz w:val="18"/>
          <w:szCs w:val="18"/>
        </w:rPr>
        <w:t xml:space="preserve"> non è in grado di presentare </w:t>
      </w:r>
      <w:r>
        <w:rPr>
          <w:rFonts w:ascii="Titillium" w:hAnsi="Titillium" w:cs="Arial"/>
          <w:sz w:val="18"/>
          <w:szCs w:val="18"/>
        </w:rPr>
        <w:t>la documentazione richiesta</w:t>
      </w:r>
      <w:r w:rsidR="00AC6A6E" w:rsidRPr="00AC6A6E">
        <w:rPr>
          <w:rFonts w:ascii="Titillium" w:hAnsi="Titillium" w:cs="Arial"/>
          <w:sz w:val="18"/>
          <w:szCs w:val="18"/>
        </w:rPr>
        <w:t>, può provare la propria capacità economica e finanziaria mediante idonee referenze bancarie o [ove prevista]</w:t>
      </w:r>
      <w:r w:rsidR="007E10B7">
        <w:rPr>
          <w:rFonts w:ascii="Titillium" w:hAnsi="Titillium" w:cs="Arial"/>
          <w:sz w:val="18"/>
          <w:szCs w:val="18"/>
        </w:rPr>
        <w:t xml:space="preserve"> idonea</w:t>
      </w:r>
      <w:r w:rsidR="00AC6A6E" w:rsidRPr="00AC6A6E">
        <w:rPr>
          <w:rFonts w:ascii="Titillium" w:hAnsi="Titillium" w:cs="Arial"/>
          <w:sz w:val="18"/>
          <w:szCs w:val="18"/>
        </w:rPr>
        <w:t xml:space="preserve"> copertura assicurativa contro i rischi professionali.</w:t>
      </w:r>
    </w:p>
    <w:p w14:paraId="5FD2C482" w14:textId="41971316" w:rsidR="004C53A8" w:rsidRPr="007E10B7" w:rsidRDefault="00870286" w:rsidP="007E10B7">
      <w:pPr>
        <w:pStyle w:val="Paragrafoelenco"/>
        <w:numPr>
          <w:ilvl w:val="0"/>
          <w:numId w:val="5"/>
        </w:numPr>
        <w:spacing w:before="60" w:after="60"/>
        <w:ind w:left="284"/>
      </w:pPr>
      <w:r w:rsidRPr="00CB0248">
        <w:rPr>
          <w:rFonts w:ascii="Titillium" w:hAnsi="Titillium"/>
          <w:b/>
          <w:i/>
          <w:sz w:val="18"/>
          <w:szCs w:val="18"/>
        </w:rPr>
        <w:t>[Facoltativo]</w:t>
      </w:r>
      <w:r w:rsidRPr="00D632C4">
        <w:rPr>
          <w:rFonts w:ascii="Titillium" w:hAnsi="Titillium"/>
          <w:sz w:val="18"/>
          <w:szCs w:val="18"/>
        </w:rPr>
        <w:t xml:space="preserve"> </w:t>
      </w:r>
      <w:r w:rsidR="00D70CCA">
        <w:rPr>
          <w:rFonts w:ascii="Titillium" w:hAnsi="Titillium"/>
          <w:sz w:val="18"/>
          <w:szCs w:val="18"/>
        </w:rPr>
        <w:t>R</w:t>
      </w:r>
      <w:r w:rsidR="00D70CCA">
        <w:rPr>
          <w:rFonts w:ascii="Titillium" w:hAnsi="Titillium" w:cs="Arial"/>
          <w:sz w:val="18"/>
          <w:szCs w:val="24"/>
        </w:rPr>
        <w:t>apporto</w:t>
      </w:r>
      <w:r w:rsidRPr="007E10B7">
        <w:rPr>
          <w:rFonts w:ascii="Titillium" w:hAnsi="Titillium" w:cs="Arial"/>
          <w:sz w:val="18"/>
          <w:szCs w:val="24"/>
        </w:rPr>
        <w:t xml:space="preserve"> tra attività e passività</w:t>
      </w:r>
      <w:r w:rsidRPr="00D632C4">
        <w:rPr>
          <w:rFonts w:ascii="Titillium" w:hAnsi="Titillium" w:cs="Arial"/>
          <w:sz w:val="18"/>
          <w:szCs w:val="24"/>
        </w:rPr>
        <w:t>, desunt</w:t>
      </w:r>
      <w:r w:rsidR="00D70CCA">
        <w:rPr>
          <w:rFonts w:ascii="Titillium" w:hAnsi="Titillium" w:cs="Arial"/>
          <w:sz w:val="18"/>
          <w:szCs w:val="24"/>
        </w:rPr>
        <w:t>o</w:t>
      </w:r>
      <w:r w:rsidRPr="00D632C4">
        <w:rPr>
          <w:rFonts w:ascii="Titillium" w:hAnsi="Titillium" w:cs="Arial"/>
          <w:sz w:val="18"/>
          <w:szCs w:val="24"/>
        </w:rPr>
        <w:t xml:space="preserve"> dal conto annuale riferito a ciascuno degli esercizi finanziari relativi agli anni </w:t>
      </w:r>
      <w:r w:rsidR="00447D79">
        <w:rPr>
          <w:rFonts w:ascii="Titillium" w:hAnsi="Titillium" w:cs="Arial"/>
          <w:sz w:val="18"/>
          <w:szCs w:val="24"/>
        </w:rPr>
        <w:t>…</w:t>
      </w:r>
      <w:r w:rsidRPr="00D632C4">
        <w:rPr>
          <w:rFonts w:ascii="Titillium" w:hAnsi="Titillium" w:cs="Arial"/>
          <w:sz w:val="18"/>
          <w:szCs w:val="24"/>
        </w:rPr>
        <w:t xml:space="preserve"> </w:t>
      </w:r>
      <w:r w:rsidRPr="00D632C4">
        <w:rPr>
          <w:rFonts w:ascii="Titillium" w:hAnsi="Titillium" w:cs="Arial"/>
          <w:i/>
          <w:sz w:val="18"/>
          <w:szCs w:val="24"/>
        </w:rPr>
        <w:t xml:space="preserve">[indicare da uno a </w:t>
      </w:r>
      <w:r w:rsidR="00D632C4">
        <w:rPr>
          <w:rFonts w:ascii="Titillium" w:hAnsi="Titillium" w:cs="Arial"/>
          <w:i/>
          <w:sz w:val="18"/>
          <w:szCs w:val="24"/>
        </w:rPr>
        <w:t xml:space="preserve">un </w:t>
      </w:r>
      <w:r w:rsidRPr="00D632C4">
        <w:rPr>
          <w:rFonts w:ascii="Titillium" w:hAnsi="Titillium" w:cs="Arial"/>
          <w:i/>
          <w:sz w:val="18"/>
          <w:szCs w:val="24"/>
        </w:rPr>
        <w:t>ma</w:t>
      </w:r>
      <w:r w:rsidR="00D632C4" w:rsidRPr="00D632C4">
        <w:rPr>
          <w:rFonts w:ascii="Titillium" w:hAnsi="Titillium" w:cs="Arial"/>
          <w:i/>
          <w:sz w:val="18"/>
          <w:szCs w:val="24"/>
        </w:rPr>
        <w:t xml:space="preserve">ssimo </w:t>
      </w:r>
      <w:r w:rsidR="00D632C4">
        <w:rPr>
          <w:rFonts w:ascii="Titillium" w:hAnsi="Titillium" w:cs="Arial"/>
          <w:i/>
          <w:sz w:val="18"/>
          <w:szCs w:val="24"/>
        </w:rPr>
        <w:t xml:space="preserve">di tre </w:t>
      </w:r>
      <w:r w:rsidRPr="00D632C4">
        <w:rPr>
          <w:rFonts w:ascii="Titillium" w:hAnsi="Titillium" w:cs="Arial"/>
          <w:i/>
          <w:sz w:val="18"/>
          <w:szCs w:val="24"/>
        </w:rPr>
        <w:t>eser</w:t>
      </w:r>
      <w:bookmarkStart w:id="1459" w:name="_Ref4979225922"/>
      <w:bookmarkEnd w:id="1459"/>
      <w:r w:rsidRPr="00D632C4">
        <w:rPr>
          <w:rFonts w:ascii="Titillium" w:hAnsi="Titillium" w:cs="Arial"/>
          <w:i/>
          <w:sz w:val="18"/>
          <w:szCs w:val="24"/>
        </w:rPr>
        <w:t>cizi di riferimento</w:t>
      </w:r>
      <w:r w:rsidR="00D70CCA">
        <w:rPr>
          <w:rFonts w:ascii="Titillium" w:hAnsi="Titillium"/>
          <w:i/>
          <w:sz w:val="18"/>
          <w:szCs w:val="18"/>
        </w:rPr>
        <w:t xml:space="preserve">] </w:t>
      </w:r>
      <w:r w:rsidR="007E4BD0">
        <w:rPr>
          <w:rFonts w:ascii="Titillium" w:hAnsi="Titillium"/>
          <w:sz w:val="18"/>
          <w:szCs w:val="18"/>
        </w:rPr>
        <w:t xml:space="preserve">calcolato … </w:t>
      </w:r>
      <w:r w:rsidR="007E4BD0" w:rsidRPr="007E4BD0">
        <w:rPr>
          <w:rFonts w:ascii="Titillium" w:hAnsi="Titillium"/>
          <w:i/>
          <w:sz w:val="18"/>
          <w:szCs w:val="18"/>
        </w:rPr>
        <w:t>[</w:t>
      </w:r>
      <w:r w:rsidRPr="00D632C4">
        <w:rPr>
          <w:rFonts w:ascii="Titillium" w:hAnsi="Titillium"/>
          <w:i/>
          <w:sz w:val="18"/>
          <w:szCs w:val="18"/>
        </w:rPr>
        <w:t xml:space="preserve">La stazione appaltante specifica il tipo di indicatore richiesto </w:t>
      </w:r>
      <w:r w:rsidR="007E10B7">
        <w:rPr>
          <w:rFonts w:ascii="Titillium" w:hAnsi="Titillium"/>
          <w:i/>
          <w:sz w:val="18"/>
          <w:szCs w:val="18"/>
        </w:rPr>
        <w:t>e il valore soglia dello stesso.</w:t>
      </w:r>
      <w:r w:rsidRPr="00D632C4">
        <w:rPr>
          <w:rFonts w:ascii="Titillium" w:hAnsi="Titillium"/>
          <w:i/>
          <w:sz w:val="18"/>
          <w:szCs w:val="18"/>
        </w:rPr>
        <w:t xml:space="preserve"> </w:t>
      </w:r>
      <w:r w:rsidR="007E10B7" w:rsidRPr="00D632C4">
        <w:rPr>
          <w:rFonts w:ascii="Titillium" w:hAnsi="Titillium"/>
          <w:i/>
          <w:sz w:val="18"/>
          <w:szCs w:val="18"/>
        </w:rPr>
        <w:t xml:space="preserve">Ad </w:t>
      </w:r>
      <w:r w:rsidRPr="00D632C4">
        <w:rPr>
          <w:rFonts w:ascii="Titillium" w:hAnsi="Titillium"/>
          <w:i/>
          <w:sz w:val="18"/>
          <w:szCs w:val="18"/>
        </w:rPr>
        <w:t>esempio</w:t>
      </w:r>
      <w:r w:rsidR="007E10B7">
        <w:rPr>
          <w:rFonts w:ascii="Titillium" w:hAnsi="Titillium"/>
          <w:i/>
          <w:sz w:val="18"/>
          <w:szCs w:val="18"/>
        </w:rPr>
        <w:t>,</w:t>
      </w:r>
      <w:r w:rsidRPr="00D632C4">
        <w:rPr>
          <w:rFonts w:ascii="Titillium" w:hAnsi="Titillium"/>
          <w:i/>
          <w:sz w:val="18"/>
          <w:szCs w:val="18"/>
        </w:rPr>
        <w:t xml:space="preserve"> può fare riferimento a</w:t>
      </w:r>
      <w:r w:rsidRPr="007E4BD0">
        <w:rPr>
          <w:rFonts w:ascii="Titillium" w:hAnsi="Titillium"/>
          <w:i/>
          <w:sz w:val="18"/>
          <w:szCs w:val="18"/>
        </w:rPr>
        <w:t>ll’indice</w:t>
      </w:r>
      <w:r w:rsidRPr="00D632C4">
        <w:rPr>
          <w:rFonts w:ascii="Titillium" w:hAnsi="Titillium"/>
          <w:i/>
          <w:iCs/>
          <w:sz w:val="18"/>
          <w:szCs w:val="18"/>
        </w:rPr>
        <w:t xml:space="preserve"> di adeguatezza patrimoniale, </w:t>
      </w:r>
      <w:r w:rsidR="00752E04">
        <w:rPr>
          <w:rFonts w:ascii="Titillium" w:hAnsi="Titillium"/>
          <w:i/>
          <w:iCs/>
          <w:sz w:val="18"/>
          <w:szCs w:val="18"/>
        </w:rPr>
        <w:t>proposto</w:t>
      </w:r>
      <w:r w:rsidRPr="00D632C4">
        <w:rPr>
          <w:rFonts w:ascii="Titillium" w:hAnsi="Titillium"/>
          <w:i/>
          <w:iCs/>
          <w:sz w:val="18"/>
          <w:szCs w:val="18"/>
        </w:rPr>
        <w:t xml:space="preserve"> dal Consiglio Nazionale dei Dott</w:t>
      </w:r>
      <w:r w:rsidR="007E10B7">
        <w:rPr>
          <w:rFonts w:ascii="Titillium" w:hAnsi="Titillium"/>
          <w:i/>
          <w:iCs/>
          <w:sz w:val="18"/>
          <w:szCs w:val="18"/>
        </w:rPr>
        <w:t>o</w:t>
      </w:r>
      <w:r w:rsidRPr="00D632C4">
        <w:rPr>
          <w:rFonts w:ascii="Titillium" w:hAnsi="Titillium"/>
          <w:i/>
          <w:iCs/>
          <w:sz w:val="18"/>
          <w:szCs w:val="18"/>
        </w:rPr>
        <w:t xml:space="preserve">ri Commercialisti e degli Esperti Contabili ai sensi del </w:t>
      </w:r>
      <w:r w:rsidR="007E10B7">
        <w:rPr>
          <w:rFonts w:ascii="Titillium" w:hAnsi="Titillium"/>
          <w:i/>
          <w:iCs/>
          <w:sz w:val="18"/>
          <w:szCs w:val="18"/>
        </w:rPr>
        <w:t>decreto legislativo</w:t>
      </w:r>
      <w:r w:rsidRPr="00D632C4">
        <w:rPr>
          <w:rFonts w:ascii="Titillium" w:hAnsi="Titillium"/>
          <w:i/>
          <w:iCs/>
          <w:sz w:val="18"/>
          <w:szCs w:val="18"/>
        </w:rPr>
        <w:t xml:space="preserve"> n. 14/2019, Codice della Crisi e dell’insolvenza, dato dal rapporto tra il patrimonio netto ed i debiti totali, che include: al numeratore, il patrimonio netto costituito dalla voce A stato patrimoniale passivo dell’</w:t>
      </w:r>
      <w:r w:rsidR="00291685">
        <w:rPr>
          <w:rFonts w:ascii="Titillium" w:hAnsi="Titillium"/>
          <w:i/>
          <w:iCs/>
          <w:sz w:val="18"/>
          <w:szCs w:val="18"/>
        </w:rPr>
        <w:t>articolo</w:t>
      </w:r>
      <w:r w:rsidRPr="00D632C4">
        <w:rPr>
          <w:rFonts w:ascii="Titillium" w:hAnsi="Titillium"/>
          <w:i/>
          <w:iCs/>
          <w:sz w:val="18"/>
          <w:szCs w:val="18"/>
        </w:rPr>
        <w:t xml:space="preserve"> 2424 c.c., detratti i crediti verso soci per versamenti ancora dovuti (voce A stato patrimoniale attivo); al denominatore, i debiti totali costituiti da tutti i debiti (voce D passivo dell’</w:t>
      </w:r>
      <w:r w:rsidR="00291685">
        <w:rPr>
          <w:rFonts w:ascii="Titillium" w:hAnsi="Titillium"/>
          <w:i/>
          <w:iCs/>
          <w:sz w:val="18"/>
          <w:szCs w:val="18"/>
        </w:rPr>
        <w:t>articolo</w:t>
      </w:r>
      <w:r w:rsidRPr="00D632C4">
        <w:rPr>
          <w:rFonts w:ascii="Titillium" w:hAnsi="Titillium"/>
          <w:i/>
          <w:iCs/>
          <w:sz w:val="18"/>
          <w:szCs w:val="18"/>
        </w:rPr>
        <w:t xml:space="preserve"> 2424 c.c.), indipendentemente dalla loro natura e dai ratei e risconti passivi (voce E passivo dell’</w:t>
      </w:r>
      <w:r w:rsidR="00291685">
        <w:rPr>
          <w:rFonts w:ascii="Titillium" w:hAnsi="Titillium"/>
          <w:i/>
          <w:iCs/>
          <w:sz w:val="18"/>
          <w:szCs w:val="18"/>
        </w:rPr>
        <w:t>articolo</w:t>
      </w:r>
      <w:r w:rsidRPr="00D632C4">
        <w:rPr>
          <w:rFonts w:ascii="Titillium" w:hAnsi="Titillium"/>
          <w:i/>
          <w:iCs/>
          <w:sz w:val="18"/>
          <w:szCs w:val="18"/>
        </w:rPr>
        <w:t xml:space="preserve"> 2424 c.c.); ed esclude </w:t>
      </w:r>
      <w:r w:rsidRPr="007E10B7">
        <w:rPr>
          <w:rFonts w:ascii="Titillium" w:hAnsi="Titillium"/>
          <w:bCs/>
          <w:i/>
          <w:iCs/>
          <w:sz w:val="18"/>
          <w:szCs w:val="18"/>
        </w:rPr>
        <w:t xml:space="preserve">le componenti del passivo di cui alla lettera B. Fondi per rischi e oneri e C. Trattamento di fine rapporto di lavoro subordinato, non direttamente assimilabili al complesso della situazione debitoria. </w:t>
      </w:r>
    </w:p>
    <w:p w14:paraId="6107B04E" w14:textId="77777777" w:rsidR="00CF354D" w:rsidRDefault="00870286">
      <w:pPr>
        <w:pStyle w:val="Paragrafoelenco"/>
        <w:spacing w:before="60" w:after="60"/>
        <w:ind w:left="284"/>
        <w:rPr>
          <w:rFonts w:ascii="Titillium" w:hAnsi="Titillium"/>
          <w:bCs/>
          <w:i/>
          <w:iCs/>
          <w:sz w:val="18"/>
          <w:szCs w:val="18"/>
        </w:rPr>
      </w:pPr>
      <w:r w:rsidRPr="00752E04">
        <w:rPr>
          <w:rFonts w:ascii="Titillium" w:hAnsi="Titillium"/>
          <w:bCs/>
          <w:i/>
          <w:iCs/>
          <w:sz w:val="18"/>
          <w:szCs w:val="18"/>
        </w:rPr>
        <w:t xml:space="preserve">Oppure </w:t>
      </w:r>
    </w:p>
    <w:p w14:paraId="33C992E2" w14:textId="6C79015A" w:rsidR="004C53A8" w:rsidRDefault="00CF354D">
      <w:pPr>
        <w:pStyle w:val="Paragrafoelenco"/>
        <w:spacing w:before="60" w:after="60"/>
        <w:ind w:left="284"/>
      </w:pPr>
      <w:r>
        <w:rPr>
          <w:rFonts w:ascii="Titillium" w:hAnsi="Titillium"/>
          <w:bCs/>
          <w:i/>
          <w:iCs/>
          <w:sz w:val="18"/>
          <w:szCs w:val="18"/>
        </w:rPr>
        <w:t xml:space="preserve">La stazione appaltante </w:t>
      </w:r>
      <w:r w:rsidR="00870286" w:rsidRPr="00752E04">
        <w:rPr>
          <w:rFonts w:ascii="Titillium" w:hAnsi="Titillium"/>
          <w:bCs/>
          <w:i/>
          <w:iCs/>
          <w:sz w:val="18"/>
          <w:szCs w:val="18"/>
        </w:rPr>
        <w:t>può fare riferimento all’</w:t>
      </w:r>
      <w:r>
        <w:rPr>
          <w:rFonts w:ascii="Titillium" w:hAnsi="Titillium"/>
          <w:i/>
          <w:iCs/>
          <w:sz w:val="18"/>
          <w:szCs w:val="18"/>
        </w:rPr>
        <w:t>i</w:t>
      </w:r>
      <w:r w:rsidR="00870286" w:rsidRPr="00752E04">
        <w:rPr>
          <w:rFonts w:ascii="Titillium" w:hAnsi="Titillium"/>
          <w:i/>
          <w:iCs/>
          <w:sz w:val="18"/>
          <w:szCs w:val="18"/>
        </w:rPr>
        <w:t>ndice</w:t>
      </w:r>
      <w:r w:rsidR="00870286">
        <w:rPr>
          <w:rFonts w:ascii="Titillium" w:hAnsi="Titillium"/>
          <w:i/>
          <w:iCs/>
          <w:sz w:val="18"/>
          <w:szCs w:val="18"/>
        </w:rPr>
        <w:t xml:space="preserve"> di indebitamento dato dal rapporto tra il totale del passivo (al netto del patrimonio netto) e il totale dell’attivo non superiore a …. [la stazione appaltante specifica il valore soglia di tale indice in considerazione della tipologia del contratto, del suo valore e della sua complessità], ricavato:</w:t>
      </w:r>
    </w:p>
    <w:p w14:paraId="5714B1E8" w14:textId="50A64047" w:rsidR="004C53A8" w:rsidRDefault="00870286" w:rsidP="0022153A">
      <w:pPr>
        <w:pStyle w:val="Paragrafoelenco"/>
        <w:numPr>
          <w:ilvl w:val="0"/>
          <w:numId w:val="10"/>
        </w:numPr>
        <w:rPr>
          <w:rFonts w:ascii="Titillium" w:hAnsi="Titillium"/>
          <w:i/>
          <w:iCs/>
          <w:sz w:val="18"/>
          <w:szCs w:val="18"/>
        </w:rPr>
      </w:pPr>
      <w:r>
        <w:rPr>
          <w:rFonts w:ascii="Titillium" w:hAnsi="Titillium"/>
          <w:i/>
          <w:iCs/>
          <w:sz w:val="18"/>
          <w:szCs w:val="18"/>
        </w:rPr>
        <w:t>per gli operatori economici in regime di contabilità ordinaria obbligati al deposito dei bilanci, dalle informazioni relative ai conti annuali di natura patrimoniale, finanziaria e reddituale riportate nello stato patrimoniale e nel conto economico, redatti preferibilmente secondo gli schemi di cui agli articoli 2424 e 2425 del codice civile, con riferimento agli ultimi … bilanci depositati [indicare da uno ad un massimo di tre esercizi di riferimento;</w:t>
      </w:r>
    </w:p>
    <w:p w14:paraId="4FF9E7E6" w14:textId="4685C0AA" w:rsidR="004C53A8" w:rsidRDefault="00870286" w:rsidP="0022153A">
      <w:pPr>
        <w:pStyle w:val="Paragrafoelenco"/>
        <w:numPr>
          <w:ilvl w:val="0"/>
          <w:numId w:val="10"/>
        </w:numPr>
        <w:rPr>
          <w:rFonts w:ascii="Titillium" w:hAnsi="Titillium"/>
          <w:i/>
          <w:iCs/>
          <w:sz w:val="18"/>
          <w:szCs w:val="18"/>
        </w:rPr>
      </w:pPr>
      <w:r>
        <w:rPr>
          <w:rFonts w:ascii="Titillium" w:hAnsi="Titillium"/>
          <w:i/>
          <w:iCs/>
          <w:sz w:val="18"/>
          <w:szCs w:val="18"/>
        </w:rPr>
        <w:t>per gli operatori economici in regime di contabilità semplificata non obbligati al deposito dei bilanci, dalle informazioni relative all’inventario e al conto dei profitti e delle perdite presentati relativi agli ultimi … [indicare da uno ad un massimo di tre esercizi di riferimento]</w:t>
      </w:r>
      <w:r w:rsidR="00D632C4">
        <w:rPr>
          <w:rFonts w:ascii="Titillium" w:hAnsi="Titillium"/>
          <w:i/>
          <w:iCs/>
          <w:sz w:val="18"/>
          <w:szCs w:val="18"/>
        </w:rPr>
        <w:t xml:space="preserve"> esercizi</w:t>
      </w:r>
      <w:r>
        <w:rPr>
          <w:rFonts w:ascii="Titillium" w:hAnsi="Titillium"/>
          <w:i/>
          <w:iCs/>
          <w:sz w:val="18"/>
          <w:szCs w:val="18"/>
        </w:rPr>
        <w:t>.</w:t>
      </w:r>
      <w:r w:rsidR="007E10B7">
        <w:rPr>
          <w:rFonts w:ascii="Titillium" w:hAnsi="Titillium"/>
          <w:i/>
          <w:iCs/>
          <w:sz w:val="18"/>
          <w:szCs w:val="18"/>
        </w:rPr>
        <w:t>]</w:t>
      </w:r>
      <w:r w:rsidR="00D632C4">
        <w:rPr>
          <w:rFonts w:ascii="Titillium" w:hAnsi="Titillium"/>
          <w:i/>
          <w:iCs/>
          <w:sz w:val="18"/>
          <w:szCs w:val="18"/>
        </w:rPr>
        <w:t xml:space="preserve"> </w:t>
      </w:r>
    </w:p>
    <w:p w14:paraId="567A927C" w14:textId="013A2D94" w:rsidR="004C53A8" w:rsidRDefault="00870286">
      <w:r w:rsidRPr="00752E04">
        <w:rPr>
          <w:rFonts w:ascii="Titillium" w:hAnsi="Titillium"/>
          <w:sz w:val="18"/>
          <w:szCs w:val="18"/>
        </w:rPr>
        <w:t>La comprova del requisito</w:t>
      </w:r>
      <w:r>
        <w:rPr>
          <w:rFonts w:ascii="Titillium" w:hAnsi="Titillium"/>
          <w:sz w:val="18"/>
          <w:szCs w:val="18"/>
        </w:rPr>
        <w:t xml:space="preserve"> è fornita mediante </w:t>
      </w:r>
      <w:r w:rsidR="008F7418">
        <w:rPr>
          <w:rFonts w:ascii="Titillium" w:hAnsi="Titillium"/>
          <w:sz w:val="18"/>
          <w:szCs w:val="18"/>
        </w:rPr>
        <w:t xml:space="preserve">… </w:t>
      </w:r>
      <w:r>
        <w:rPr>
          <w:rFonts w:ascii="Titillium" w:hAnsi="Titillium"/>
          <w:i/>
          <w:sz w:val="18"/>
          <w:szCs w:val="18"/>
        </w:rPr>
        <w:t xml:space="preserve">[la stazione appaltante, a seconda del tipo di rapporto richiesto, indica i documenti per la dimostrazione del requisito, ad esempio </w:t>
      </w:r>
      <w:r>
        <w:rPr>
          <w:rFonts w:ascii="Titillium" w:hAnsi="Titillium"/>
          <w:i/>
          <w:iCs/>
          <w:sz w:val="18"/>
          <w:szCs w:val="18"/>
        </w:rPr>
        <w:t>copia dello stato patrimoniale e del conto economico depositati o di un loro estratto in copia da cui emerga il possesso del predetto requisito oppure copia dell’inventario e del conto dei profitti e delle perdite presentati o di un loro estratto da cui emerga il possesso del predetto requisito</w:t>
      </w:r>
      <w:r>
        <w:rPr>
          <w:rFonts w:ascii="Titillium" w:hAnsi="Titillium"/>
          <w:sz w:val="18"/>
          <w:szCs w:val="18"/>
        </w:rPr>
        <w:t>].</w:t>
      </w:r>
    </w:p>
    <w:p w14:paraId="754A27B9" w14:textId="1D01E858" w:rsidR="004C53A8" w:rsidRPr="00E4634E" w:rsidRDefault="00870286">
      <w:pPr>
        <w:pStyle w:val="Paragrafoelenco"/>
        <w:numPr>
          <w:ilvl w:val="0"/>
          <w:numId w:val="5"/>
        </w:numPr>
        <w:spacing w:before="60" w:after="60"/>
        <w:ind w:left="284" w:hanging="284"/>
      </w:pPr>
      <w:bookmarkStart w:id="1460" w:name="_Ref497922592"/>
      <w:bookmarkEnd w:id="1460"/>
      <w:r>
        <w:rPr>
          <w:rFonts w:ascii="Titillium" w:hAnsi="Titillium" w:cs="Arial"/>
          <w:b/>
          <w:i/>
          <w:sz w:val="18"/>
          <w:szCs w:val="18"/>
        </w:rPr>
        <w:t xml:space="preserve"> [Facoltativo] </w:t>
      </w:r>
      <w:r w:rsidRPr="00E4634E">
        <w:rPr>
          <w:rFonts w:ascii="Titillium" w:hAnsi="Titillium" w:cs="Arial"/>
          <w:sz w:val="18"/>
          <w:szCs w:val="18"/>
        </w:rPr>
        <w:t>Possesso di copertura assicurativa contro i</w:t>
      </w:r>
      <w:bookmarkStart w:id="1461" w:name="_Ref497922607"/>
      <w:bookmarkEnd w:id="1461"/>
      <w:r w:rsidR="002A5EF6" w:rsidRPr="00E4634E">
        <w:rPr>
          <w:rFonts w:ascii="Titillium" w:hAnsi="Titillium" w:cs="Arial"/>
          <w:sz w:val="18"/>
          <w:szCs w:val="18"/>
        </w:rPr>
        <w:t xml:space="preserve"> rischi professionali, di importo pari a … </w:t>
      </w:r>
      <w:r w:rsidR="002A5EF6" w:rsidRPr="00E4634E">
        <w:rPr>
          <w:rFonts w:ascii="Titillium" w:hAnsi="Titillium" w:cs="Arial"/>
          <w:i/>
          <w:sz w:val="18"/>
          <w:szCs w:val="18"/>
        </w:rPr>
        <w:t xml:space="preserve">[indicare il valore della polizza] </w:t>
      </w:r>
      <w:r w:rsidR="002A5EF6" w:rsidRPr="00E4634E">
        <w:rPr>
          <w:rFonts w:ascii="Titillium" w:hAnsi="Titillium" w:cs="Arial"/>
          <w:sz w:val="18"/>
          <w:szCs w:val="18"/>
        </w:rPr>
        <w:t xml:space="preserve">in corso di validità. </w:t>
      </w:r>
    </w:p>
    <w:p w14:paraId="38E2E7A2" w14:textId="1AE48C5C" w:rsidR="004C53A8" w:rsidRPr="00E4634E" w:rsidRDefault="00870286">
      <w:pPr>
        <w:pStyle w:val="Paragrafoelenco"/>
        <w:spacing w:before="60" w:after="60"/>
        <w:ind w:left="0"/>
        <w:rPr>
          <w:rFonts w:ascii="Titillium" w:hAnsi="Titillium" w:cs="Arial"/>
          <w:sz w:val="18"/>
          <w:szCs w:val="18"/>
        </w:rPr>
      </w:pPr>
      <w:r w:rsidRPr="00E4634E">
        <w:rPr>
          <w:rFonts w:ascii="Titillium" w:hAnsi="Titillium" w:cs="Arial"/>
          <w:sz w:val="18"/>
          <w:szCs w:val="18"/>
        </w:rPr>
        <w:t>La comprova di tale requisito è fornita mediante la produzione della relativa polizza, e</w:t>
      </w:r>
      <w:r w:rsidR="002A5EF6" w:rsidRPr="00E4634E">
        <w:rPr>
          <w:rFonts w:ascii="Titillium" w:hAnsi="Titillium" w:cs="Arial"/>
          <w:sz w:val="18"/>
          <w:szCs w:val="18"/>
        </w:rPr>
        <w:t>, a pena di esclusione,</w:t>
      </w:r>
      <w:r w:rsidRPr="00E4634E">
        <w:rPr>
          <w:rFonts w:ascii="Titillium" w:hAnsi="Titillium" w:cs="Arial"/>
          <w:sz w:val="18"/>
          <w:szCs w:val="18"/>
        </w:rPr>
        <w:t xml:space="preserve"> dell’eventuale dichiarazione di impegno</w:t>
      </w:r>
      <w:r w:rsidR="002A5EF6" w:rsidRPr="00E4634E">
        <w:rPr>
          <w:rFonts w:ascii="Titillium" w:hAnsi="Titillium" w:cs="Arial"/>
          <w:sz w:val="18"/>
          <w:szCs w:val="18"/>
        </w:rPr>
        <w:t xml:space="preserve"> </w:t>
      </w:r>
      <w:r w:rsidRPr="00E4634E">
        <w:rPr>
          <w:rFonts w:ascii="Titillium" w:hAnsi="Titillium" w:cs="Arial"/>
          <w:sz w:val="18"/>
          <w:szCs w:val="18"/>
        </w:rPr>
        <w:t>da parte dell’impresa assicuratrice ad adeguare il valore della polizza</w:t>
      </w:r>
      <w:r w:rsidR="002A5EF6" w:rsidRPr="00E4634E">
        <w:rPr>
          <w:rFonts w:ascii="Titillium" w:hAnsi="Titillium" w:cs="Arial"/>
          <w:sz w:val="18"/>
          <w:szCs w:val="18"/>
        </w:rPr>
        <w:t xml:space="preserve"> nel caso in cui il valore attuale fosse inferiore al valore dell’appalto.</w:t>
      </w:r>
    </w:p>
    <w:p w14:paraId="7FCBF15A" w14:textId="4EF1D350" w:rsidR="004C53A8" w:rsidRDefault="004C667D">
      <w:pPr>
        <w:pStyle w:val="Titolo3"/>
        <w:numPr>
          <w:ilvl w:val="1"/>
          <w:numId w:val="4"/>
        </w:numPr>
        <w:ind w:left="426" w:hanging="426"/>
        <w:rPr>
          <w:rFonts w:ascii="Titillium" w:hAnsi="Titillium"/>
          <w:sz w:val="18"/>
          <w:szCs w:val="18"/>
          <w:lang w:val="it-IT"/>
        </w:rPr>
      </w:pPr>
      <w:bookmarkStart w:id="1462" w:name="_Ref495506173"/>
      <w:bookmarkStart w:id="1463" w:name="_Ref495482790"/>
      <w:bookmarkStart w:id="1464" w:name="_Ref495482769"/>
      <w:bookmarkStart w:id="1465" w:name="_Ref495411584"/>
      <w:bookmarkStart w:id="1466" w:name="_Ref496707577"/>
      <w:bookmarkStart w:id="1467" w:name="_Ref495920623"/>
      <w:bookmarkStart w:id="1468" w:name="_Toc95495890"/>
      <w:r>
        <w:rPr>
          <w:rFonts w:ascii="Titillium" w:hAnsi="Titillium"/>
          <w:caps w:val="0"/>
          <w:sz w:val="18"/>
          <w:szCs w:val="18"/>
          <w:lang w:val="it-IT"/>
        </w:rPr>
        <w:t>REQUISITI DI CAPACITÀ TECNICA E PROFESSIONALE</w:t>
      </w:r>
      <w:bookmarkEnd w:id="1462"/>
      <w:bookmarkEnd w:id="1463"/>
      <w:bookmarkEnd w:id="1464"/>
      <w:bookmarkEnd w:id="1465"/>
      <w:bookmarkEnd w:id="1466"/>
      <w:bookmarkEnd w:id="1467"/>
      <w:bookmarkEnd w:id="1468"/>
    </w:p>
    <w:p w14:paraId="4DF7064D" w14:textId="77777777" w:rsidR="004C53A8" w:rsidRDefault="00870286">
      <w:pPr>
        <w:pStyle w:val="Paragrafoelenco"/>
        <w:numPr>
          <w:ilvl w:val="0"/>
          <w:numId w:val="5"/>
        </w:numPr>
        <w:spacing w:before="60" w:after="60"/>
        <w:ind w:left="284" w:hanging="284"/>
      </w:pPr>
      <w:bookmarkStart w:id="1469" w:name="_Ref497922628"/>
      <w:r>
        <w:rPr>
          <w:rFonts w:ascii="Titillium" w:hAnsi="Titillium" w:cs="Arial"/>
          <w:b/>
          <w:i/>
          <w:sz w:val="18"/>
          <w:szCs w:val="18"/>
        </w:rPr>
        <w:t xml:space="preserve"> [Facoltativo] </w:t>
      </w:r>
      <w:r w:rsidRPr="00E4634E">
        <w:rPr>
          <w:rFonts w:ascii="Titillium" w:hAnsi="Titillium" w:cs="Calibri"/>
          <w:sz w:val="18"/>
          <w:szCs w:val="18"/>
        </w:rPr>
        <w:t>Esecuzione negli ultimi tre anni dei seguenti servizi/forniture</w:t>
      </w:r>
      <w:bookmarkEnd w:id="1469"/>
      <w:r w:rsidRPr="00E4634E">
        <w:rPr>
          <w:rFonts w:ascii="Titillium" w:hAnsi="Titillium" w:cs="Calibri"/>
          <w:sz w:val="18"/>
          <w:szCs w:val="18"/>
        </w:rPr>
        <w:t xml:space="preserve"> analoghi</w:t>
      </w:r>
    </w:p>
    <w:p w14:paraId="18B99483" w14:textId="77777777" w:rsidR="004C53A8" w:rsidRDefault="00870286">
      <w:pPr>
        <w:spacing w:before="60" w:after="60"/>
        <w:ind w:left="284"/>
      </w:pPr>
      <w:r>
        <w:rPr>
          <w:rFonts w:ascii="Titillium" w:hAnsi="Titillium" w:cs="Calibri"/>
          <w:sz w:val="18"/>
          <w:szCs w:val="18"/>
        </w:rPr>
        <w:t xml:space="preserve">Il concorrente deve aver eseguito nell’ultimo triennio </w:t>
      </w:r>
      <w:r>
        <w:rPr>
          <w:rFonts w:ascii="Titillium" w:hAnsi="Titillium" w:cs="Calibri"/>
          <w:i/>
          <w:sz w:val="18"/>
          <w:szCs w:val="18"/>
        </w:rPr>
        <w:t>[la stazione appaltante selezione una o più delle successive opzioni]</w:t>
      </w:r>
      <w:r>
        <w:rPr>
          <w:rFonts w:ascii="Titillium" w:hAnsi="Titillium" w:cs="Calibri"/>
          <w:sz w:val="18"/>
          <w:szCs w:val="18"/>
        </w:rPr>
        <w:t>:</w:t>
      </w:r>
    </w:p>
    <w:p w14:paraId="22832595" w14:textId="77777777" w:rsidR="004C53A8" w:rsidRDefault="00870286" w:rsidP="0022153A">
      <w:pPr>
        <w:pStyle w:val="Paragrafoelenco"/>
        <w:numPr>
          <w:ilvl w:val="0"/>
          <w:numId w:val="6"/>
        </w:numPr>
        <w:spacing w:before="60" w:after="60"/>
        <w:ind w:left="426" w:hanging="142"/>
      </w:pPr>
      <w:r>
        <w:rPr>
          <w:rFonts w:ascii="Titillium" w:hAnsi="Titillium" w:cs="Calibri"/>
          <w:b/>
          <w:i/>
          <w:sz w:val="18"/>
          <w:szCs w:val="18"/>
        </w:rPr>
        <w:t>[in caso di servizio/fornitura “di punta” nella prestazione principale]</w:t>
      </w:r>
      <w:r>
        <w:rPr>
          <w:rFonts w:ascii="Titillium" w:hAnsi="Titillium" w:cs="Calibri"/>
          <w:sz w:val="18"/>
          <w:szCs w:val="18"/>
        </w:rPr>
        <w:t xml:space="preserve"> un servizio/fornitura analogo a … </w:t>
      </w:r>
      <w:r>
        <w:rPr>
          <w:rFonts w:ascii="Titillium" w:hAnsi="Titillium" w:cs="Calibri"/>
          <w:i/>
          <w:sz w:val="18"/>
          <w:szCs w:val="18"/>
        </w:rPr>
        <w:t>[indicare il tipo di servizio/fornitura analogo che si richiede]</w:t>
      </w:r>
      <w:r>
        <w:rPr>
          <w:rFonts w:ascii="Titillium" w:hAnsi="Titillium" w:cs="Calibri"/>
          <w:sz w:val="18"/>
          <w:szCs w:val="18"/>
        </w:rPr>
        <w:t xml:space="preserve"> di importo minimo pari a € … </w:t>
      </w:r>
      <w:r>
        <w:rPr>
          <w:rFonts w:ascii="Titillium" w:hAnsi="Titillium" w:cs="Calibri"/>
          <w:i/>
          <w:sz w:val="18"/>
          <w:szCs w:val="18"/>
        </w:rPr>
        <w:t>[In caso di richiesta di più di un servizio/fornitura di punta, anche in prestazioni secondarie, ripetere la dicitura per ogni servizio/fornitura].</w:t>
      </w:r>
    </w:p>
    <w:p w14:paraId="1C457D41" w14:textId="77777777" w:rsidR="004C53A8" w:rsidRDefault="00870286" w:rsidP="0022153A">
      <w:pPr>
        <w:pStyle w:val="Paragrafoelenco"/>
        <w:numPr>
          <w:ilvl w:val="0"/>
          <w:numId w:val="6"/>
        </w:numPr>
        <w:spacing w:before="60" w:after="60"/>
        <w:ind w:left="426" w:hanging="142"/>
      </w:pPr>
      <w:r>
        <w:rPr>
          <w:rFonts w:ascii="Titillium" w:hAnsi="Titillium" w:cs="Calibri"/>
          <w:b/>
          <w:i/>
          <w:sz w:val="18"/>
          <w:szCs w:val="18"/>
        </w:rPr>
        <w:t xml:space="preserve">[in caso di elenco di servizi/forniture analoghi nella prestazione principale] </w:t>
      </w:r>
      <w:r w:rsidRPr="00464444">
        <w:rPr>
          <w:rFonts w:ascii="Titillium" w:hAnsi="Titillium" w:cs="Calibri"/>
          <w:i/>
          <w:sz w:val="18"/>
          <w:szCs w:val="18"/>
        </w:rPr>
        <w:t xml:space="preserve">un elenco di </w:t>
      </w:r>
      <w:r w:rsidRPr="00464444">
        <w:rPr>
          <w:rFonts w:ascii="Titillium" w:hAnsi="Titillium" w:cs="Calibri"/>
          <w:sz w:val="18"/>
          <w:szCs w:val="18"/>
        </w:rPr>
        <w:t>servizi</w:t>
      </w:r>
      <w:r>
        <w:rPr>
          <w:rFonts w:ascii="Titillium" w:hAnsi="Titillium" w:cs="Calibri"/>
          <w:sz w:val="18"/>
          <w:szCs w:val="18"/>
        </w:rPr>
        <w:t xml:space="preserve">/forniture analoghi a … </w:t>
      </w:r>
      <w:r>
        <w:rPr>
          <w:rFonts w:ascii="Titillium" w:hAnsi="Titillium" w:cs="Calibri"/>
          <w:i/>
          <w:sz w:val="18"/>
          <w:szCs w:val="18"/>
        </w:rPr>
        <w:t>[indicare il tipo di servizi/forniture analoghi che si richiedono]</w:t>
      </w:r>
      <w:r>
        <w:rPr>
          <w:rFonts w:ascii="Titillium" w:hAnsi="Titillium" w:cs="Calibri"/>
          <w:sz w:val="18"/>
          <w:szCs w:val="18"/>
        </w:rPr>
        <w:t xml:space="preserve"> di importo complessivo minimo pari a € … </w:t>
      </w:r>
      <w:r>
        <w:rPr>
          <w:rFonts w:ascii="Titillium" w:hAnsi="Titillium" w:cs="Calibri"/>
          <w:i/>
          <w:sz w:val="18"/>
          <w:szCs w:val="18"/>
        </w:rPr>
        <w:t>[In caso di richiesta di più di un elenco di servizi/forniture, anche in prestazioni secondarie, ripetere la dicitura per ogni servizio/fornitura].</w:t>
      </w:r>
    </w:p>
    <w:p w14:paraId="30E2DBF7" w14:textId="77777777" w:rsidR="004C53A8" w:rsidRDefault="00870286">
      <w:pPr>
        <w:spacing w:before="60" w:after="60"/>
      </w:pPr>
      <w:r w:rsidRPr="008F7418">
        <w:rPr>
          <w:rFonts w:ascii="Titillium" w:hAnsi="Titillium" w:cs="Arial"/>
          <w:sz w:val="18"/>
          <w:szCs w:val="18"/>
        </w:rPr>
        <w:t>La comprova del requisito, è</w:t>
      </w:r>
      <w:r>
        <w:rPr>
          <w:rFonts w:ascii="Titillium" w:hAnsi="Titillium" w:cs="Arial"/>
          <w:sz w:val="18"/>
          <w:szCs w:val="18"/>
        </w:rPr>
        <w:t xml:space="preserve"> fornita mediante:</w:t>
      </w:r>
    </w:p>
    <w:p w14:paraId="0A1D52CC" w14:textId="5E8AD825" w:rsidR="004C53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8F7418">
        <w:rPr>
          <w:rFonts w:ascii="Titillium" w:eastAsia="Calibri" w:hAnsi="Titillium"/>
          <w:bCs/>
          <w:i/>
          <w:iCs/>
          <w:color w:val="443205"/>
          <w:kern w:val="2"/>
          <w:sz w:val="18"/>
          <w:szCs w:val="18"/>
          <w:lang w:eastAsia="it-IT"/>
        </w:rPr>
        <w:t xml:space="preserve">   </w:t>
      </w:r>
      <w:r w:rsidRPr="00E7138C">
        <w:rPr>
          <w:rFonts w:ascii="Titillium" w:eastAsia="Calibri" w:hAnsi="Titillium" w:cs="Arial"/>
          <w:sz w:val="18"/>
          <w:szCs w:val="18"/>
          <w:lang w:eastAsia="it-IT"/>
        </w:rPr>
        <w:t>-  certificati rilasciati dall’amministrazione/ente contraente, con l’indicazione dell’oggetto, dell’importo e del periodo di esecuzione;</w:t>
      </w:r>
    </w:p>
    <w:p w14:paraId="21FE1B33" w14:textId="4AFA6FD2" w:rsidR="004C53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 xml:space="preserve">   - </w:t>
      </w:r>
      <w:r w:rsidR="008F7418" w:rsidRPr="00E7138C">
        <w:rPr>
          <w:rFonts w:ascii="Titillium" w:eastAsia="Calibri" w:hAnsi="Titillium" w:cs="Arial"/>
          <w:sz w:val="18"/>
          <w:szCs w:val="18"/>
          <w:lang w:eastAsia="it-IT"/>
        </w:rPr>
        <w:tab/>
      </w:r>
      <w:r w:rsidRPr="00E7138C">
        <w:rPr>
          <w:rFonts w:ascii="Titillium" w:eastAsia="Calibri" w:hAnsi="Titillium" w:cs="Arial"/>
          <w:sz w:val="18"/>
          <w:szCs w:val="18"/>
          <w:lang w:eastAsia="it-IT"/>
        </w:rPr>
        <w:t>contratti stipulati con le amministrazioni pubbliche, completi di copia delle fatture quietanzate ovvero dei documenti bancari attestanti il pagamento delle stesse;</w:t>
      </w:r>
    </w:p>
    <w:p w14:paraId="73D017BA" w14:textId="77777777" w:rsidR="00C365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 xml:space="preserve">   - </w:t>
      </w:r>
      <w:r w:rsidR="00C365A8" w:rsidRPr="00E7138C">
        <w:rPr>
          <w:rFonts w:ascii="Titillium" w:eastAsia="Calibri" w:hAnsi="Titillium" w:cs="Arial"/>
          <w:sz w:val="18"/>
          <w:szCs w:val="18"/>
          <w:lang w:eastAsia="it-IT"/>
        </w:rPr>
        <w:tab/>
      </w:r>
      <w:r w:rsidR="008F7418" w:rsidRPr="00E7138C">
        <w:rPr>
          <w:rFonts w:ascii="Titillium" w:eastAsia="Calibri" w:hAnsi="Titillium" w:cs="Arial"/>
          <w:sz w:val="18"/>
          <w:szCs w:val="18"/>
          <w:lang w:eastAsia="it-IT"/>
        </w:rPr>
        <w:t>attestazioni</w:t>
      </w:r>
      <w:r w:rsidRPr="00E7138C">
        <w:rPr>
          <w:rFonts w:ascii="Titillium" w:eastAsia="Calibri" w:hAnsi="Titillium" w:cs="Arial"/>
          <w:sz w:val="18"/>
          <w:szCs w:val="18"/>
          <w:lang w:eastAsia="it-IT"/>
        </w:rPr>
        <w:t xml:space="preserve"> r</w:t>
      </w:r>
      <w:r w:rsidR="008F7418" w:rsidRPr="00E7138C">
        <w:rPr>
          <w:rFonts w:ascii="Titillium" w:eastAsia="Calibri" w:hAnsi="Titillium" w:cs="Arial"/>
          <w:sz w:val="18"/>
          <w:szCs w:val="18"/>
          <w:lang w:eastAsia="it-IT"/>
        </w:rPr>
        <w:t>ilasciate</w:t>
      </w:r>
      <w:r w:rsidRPr="00E7138C">
        <w:rPr>
          <w:rFonts w:ascii="Titillium" w:eastAsia="Calibri" w:hAnsi="Titillium" w:cs="Arial"/>
          <w:sz w:val="18"/>
          <w:szCs w:val="18"/>
          <w:lang w:eastAsia="it-IT"/>
        </w:rPr>
        <w:t xml:space="preserve"> dal committente privato, con l’indicazione dell’oggetto, dell’impo</w:t>
      </w:r>
      <w:r w:rsidR="00C365A8" w:rsidRPr="00E7138C">
        <w:rPr>
          <w:rFonts w:ascii="Titillium" w:eastAsia="Calibri" w:hAnsi="Titillium" w:cs="Arial"/>
          <w:sz w:val="18"/>
          <w:szCs w:val="18"/>
          <w:lang w:eastAsia="it-IT"/>
        </w:rPr>
        <w:t>rto e del periodo di esecuzione;</w:t>
      </w:r>
    </w:p>
    <w:p w14:paraId="0801FBBE" w14:textId="4E800007" w:rsidR="004C53A8" w:rsidRPr="00E7138C" w:rsidRDefault="00C365A8"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w:t>
      </w:r>
      <w:r w:rsidRPr="00E7138C">
        <w:rPr>
          <w:rFonts w:ascii="Titillium" w:eastAsia="Calibri" w:hAnsi="Titillium" w:cs="Arial"/>
          <w:sz w:val="18"/>
          <w:szCs w:val="18"/>
          <w:lang w:eastAsia="it-IT"/>
        </w:rPr>
        <w:tab/>
      </w:r>
      <w:r w:rsidR="00870286" w:rsidRPr="00E7138C">
        <w:rPr>
          <w:rFonts w:ascii="Titillium" w:eastAsia="Calibri" w:hAnsi="Titillium" w:cs="Arial"/>
          <w:sz w:val="18"/>
          <w:szCs w:val="18"/>
          <w:lang w:eastAsia="it-IT"/>
        </w:rPr>
        <w:t>contratti stipulati con privati, completi di copia delle fatture quietanzate ovvero dei documenti bancari attestanti il pagamento delle stesse</w:t>
      </w:r>
      <w:r w:rsidRPr="00E7138C">
        <w:rPr>
          <w:rFonts w:ascii="Titillium" w:eastAsia="Calibri" w:hAnsi="Titillium" w:cs="Arial"/>
          <w:sz w:val="18"/>
          <w:szCs w:val="18"/>
          <w:lang w:eastAsia="it-IT"/>
        </w:rPr>
        <w:t>.</w:t>
      </w:r>
    </w:p>
    <w:p w14:paraId="1F8DF525" w14:textId="77777777" w:rsidR="00C365A8" w:rsidRPr="00C365A8" w:rsidRDefault="00C365A8" w:rsidP="00C365A8">
      <w:pPr>
        <w:tabs>
          <w:tab w:val="left" w:pos="426"/>
        </w:tabs>
        <w:suppressAutoHyphens/>
        <w:spacing w:line="240" w:lineRule="auto"/>
        <w:ind w:left="426" w:hanging="284"/>
        <w:textAlignment w:val="baseline"/>
        <w:rPr>
          <w:rFonts w:ascii="Titillium" w:eastAsia="Calibri" w:hAnsi="Titillium"/>
          <w:bCs/>
          <w:i/>
          <w:iCs/>
          <w:color w:val="443205"/>
          <w:kern w:val="2"/>
          <w:sz w:val="18"/>
          <w:szCs w:val="18"/>
          <w:lang w:eastAsia="it-IT"/>
        </w:rPr>
      </w:pPr>
    </w:p>
    <w:tbl>
      <w:tblPr>
        <w:tblW w:w="9210" w:type="dxa"/>
        <w:tblInd w:w="-108" w:type="dxa"/>
        <w:tblLook w:val="04A0" w:firstRow="1" w:lastRow="0" w:firstColumn="1" w:lastColumn="0" w:noHBand="0" w:noVBand="1"/>
      </w:tblPr>
      <w:tblGrid>
        <w:gridCol w:w="9210"/>
      </w:tblGrid>
      <w:tr w:rsidR="004C53A8" w14:paraId="1A716F90" w14:textId="77777777">
        <w:tc>
          <w:tcPr>
            <w:tcW w:w="9210" w:type="dxa"/>
            <w:tcBorders>
              <w:top w:val="single" w:sz="4" w:space="0" w:color="000000"/>
              <w:left w:val="single" w:sz="4" w:space="0" w:color="000000"/>
              <w:bottom w:val="single" w:sz="4" w:space="0" w:color="000000"/>
              <w:right w:val="single" w:sz="4" w:space="0" w:color="000000"/>
            </w:tcBorders>
          </w:tcPr>
          <w:p w14:paraId="4F235B46" w14:textId="6A3A1730" w:rsidR="004C53A8" w:rsidRDefault="00870286">
            <w:pPr>
              <w:spacing w:before="60" w:after="60"/>
            </w:pPr>
            <w:r>
              <w:rPr>
                <w:rFonts w:ascii="Titillium" w:hAnsi="Titillium"/>
                <w:i/>
                <w:sz w:val="18"/>
                <w:szCs w:val="18"/>
              </w:rPr>
              <w:t xml:space="preserve">N.B.: </w:t>
            </w:r>
            <w:r>
              <w:rPr>
                <w:rFonts w:ascii="Titillium" w:hAnsi="Titillium"/>
                <w:i/>
                <w:iCs/>
                <w:sz w:val="18"/>
                <w:szCs w:val="18"/>
              </w:rPr>
              <w:t>La comprova del requisito, è fornita secondo le disposizioni di cui all’art</w:t>
            </w:r>
            <w:r w:rsidR="00C365A8">
              <w:rPr>
                <w:rFonts w:ascii="Titillium" w:hAnsi="Titillium"/>
                <w:i/>
                <w:iCs/>
                <w:sz w:val="18"/>
                <w:szCs w:val="18"/>
              </w:rPr>
              <w:t>icolo</w:t>
            </w:r>
            <w:r>
              <w:rPr>
                <w:rFonts w:ascii="Titillium" w:hAnsi="Titillium"/>
                <w:i/>
                <w:iCs/>
                <w:sz w:val="18"/>
                <w:szCs w:val="18"/>
              </w:rPr>
              <w:t xml:space="preserve"> 86 e all’allegato XVII, parte II, del Codice. </w:t>
            </w:r>
            <w:r>
              <w:rPr>
                <w:rFonts w:ascii="Titillium" w:hAnsi="Titillium"/>
                <w:i/>
                <w:sz w:val="18"/>
                <w:szCs w:val="18"/>
              </w:rPr>
              <w:t>Ai sensi dell’allegato XVII, parte II, lettera a)</w:t>
            </w:r>
            <w:r w:rsidR="001B6072">
              <w:rPr>
                <w:rFonts w:ascii="Titillium" w:hAnsi="Titillium"/>
                <w:i/>
                <w:sz w:val="18"/>
                <w:szCs w:val="18"/>
              </w:rPr>
              <w:t>,</w:t>
            </w:r>
            <w:r>
              <w:rPr>
                <w:rFonts w:ascii="Titillium" w:hAnsi="Titillium"/>
                <w:i/>
                <w:sz w:val="18"/>
                <w:szCs w:val="18"/>
              </w:rPr>
              <w:t xml:space="preserve"> punto ii, del Codice, al fine di assicurare un livello adeguato di concorrenza la stazione appaltante può prendere in considerazione un periodo più ampio degli ultimi tre anni.</w:t>
            </w:r>
          </w:p>
        </w:tc>
      </w:tr>
    </w:tbl>
    <w:p w14:paraId="0CD1A6B5" w14:textId="77777777" w:rsidR="004C53A8" w:rsidRDefault="004C53A8">
      <w:pPr>
        <w:pStyle w:val="Paragrafoelenco"/>
        <w:spacing w:before="60" w:after="60"/>
        <w:ind w:left="284"/>
        <w:rPr>
          <w:rFonts w:ascii="Titillium" w:hAnsi="Titillium" w:cs="Arial"/>
          <w:sz w:val="18"/>
          <w:szCs w:val="18"/>
        </w:rPr>
      </w:pPr>
    </w:p>
    <w:p w14:paraId="61F5147D" w14:textId="19DA851D" w:rsidR="004C53A8" w:rsidRDefault="00870286">
      <w:pPr>
        <w:pStyle w:val="Paragrafoelenco"/>
        <w:numPr>
          <w:ilvl w:val="0"/>
          <w:numId w:val="5"/>
        </w:numPr>
        <w:spacing w:before="60" w:after="60"/>
        <w:ind w:left="284" w:hanging="284"/>
      </w:pPr>
      <w:r w:rsidRPr="00C365A8">
        <w:rPr>
          <w:rFonts w:ascii="Titillium" w:hAnsi="Titillium" w:cs="Arial"/>
          <w:b/>
          <w:sz w:val="18"/>
          <w:szCs w:val="18"/>
        </w:rPr>
        <w:t xml:space="preserve">[Facoltativo] </w:t>
      </w:r>
      <w:r w:rsidRPr="00464444">
        <w:rPr>
          <w:rFonts w:ascii="Titillium" w:hAnsi="Titillium" w:cs="Arial"/>
          <w:sz w:val="18"/>
          <w:szCs w:val="18"/>
        </w:rPr>
        <w:t>Tecnici o organismi tecnici</w:t>
      </w:r>
      <w:r w:rsidRPr="00C365A8">
        <w:rPr>
          <w:rFonts w:ascii="Titillium" w:hAnsi="Titillium" w:cs="Arial"/>
          <w:b/>
          <w:sz w:val="18"/>
          <w:szCs w:val="18"/>
        </w:rPr>
        <w:t xml:space="preserve"> </w:t>
      </w:r>
      <w:r w:rsidRPr="00C365A8">
        <w:rPr>
          <w:rFonts w:ascii="Titillium" w:hAnsi="Titillium" w:cs="Arial"/>
          <w:sz w:val="18"/>
          <w:szCs w:val="18"/>
        </w:rPr>
        <w:t>che facciano o meno parte integrante dell’operatore economico</w:t>
      </w:r>
      <w:r w:rsidRPr="00C365A8">
        <w:rPr>
          <w:rFonts w:ascii="Titillium" w:hAnsi="Titillium" w:cs="Arial"/>
          <w:b/>
          <w:sz w:val="18"/>
          <w:szCs w:val="18"/>
        </w:rPr>
        <w:t xml:space="preserve"> </w:t>
      </w:r>
      <w:r w:rsidRPr="00C365A8">
        <w:rPr>
          <w:rFonts w:ascii="Titillium" w:hAnsi="Titillium" w:cs="Arial"/>
          <w:sz w:val="18"/>
          <w:szCs w:val="18"/>
        </w:rPr>
        <w:t xml:space="preserve">(anche responsabili del controllo della qualità) con le seguenti qualifiche </w:t>
      </w:r>
      <w:r w:rsidRPr="00C365A8">
        <w:rPr>
          <w:rFonts w:ascii="Titillium" w:hAnsi="Titillium" w:cs="Arial"/>
          <w:i/>
          <w:sz w:val="18"/>
          <w:szCs w:val="18"/>
        </w:rPr>
        <w:t>… [la stazione appaltante</w:t>
      </w:r>
      <w:r w:rsidRPr="00C365A8">
        <w:rPr>
          <w:rFonts w:ascii="Titillium" w:hAnsi="Titillium" w:cs="Arial"/>
          <w:sz w:val="18"/>
          <w:szCs w:val="18"/>
        </w:rPr>
        <w:t xml:space="preserve"> </w:t>
      </w:r>
      <w:r w:rsidRPr="00C365A8">
        <w:rPr>
          <w:rFonts w:ascii="Titillium" w:hAnsi="Titillium" w:cs="Arial"/>
          <w:i/>
          <w:sz w:val="18"/>
          <w:szCs w:val="18"/>
        </w:rPr>
        <w:t>indica le qualifiche richieste]</w:t>
      </w:r>
      <w:r>
        <w:rPr>
          <w:rFonts w:ascii="Titillium" w:hAnsi="Titillium" w:cs="Arial"/>
          <w:i/>
          <w:sz w:val="18"/>
          <w:szCs w:val="18"/>
        </w:rPr>
        <w:t xml:space="preserve"> </w:t>
      </w:r>
      <w:r>
        <w:rPr>
          <w:rFonts w:ascii="Titillium" w:hAnsi="Titillium" w:cs="Arial"/>
          <w:sz w:val="18"/>
          <w:szCs w:val="18"/>
        </w:rPr>
        <w:t>per un numero di unità minime pari a n. …</w:t>
      </w:r>
    </w:p>
    <w:p w14:paraId="121FFC18" w14:textId="77777777" w:rsidR="004C53A8" w:rsidRDefault="00870286">
      <w:pPr>
        <w:spacing w:before="60" w:after="60"/>
      </w:pPr>
      <w:r w:rsidRPr="00C365A8">
        <w:rPr>
          <w:rFonts w:ascii="Titillium" w:hAnsi="Titillium" w:cs="Calibri"/>
          <w:sz w:val="18"/>
          <w:szCs w:val="18"/>
        </w:rPr>
        <w:t>La comprova del requisito</w:t>
      </w:r>
      <w:r>
        <w:rPr>
          <w:rFonts w:ascii="Titillium" w:hAnsi="Titillium" w:cs="Calibri"/>
          <w:sz w:val="18"/>
          <w:szCs w:val="18"/>
        </w:rPr>
        <w:t xml:space="preserve"> è fornita mediante … </w:t>
      </w:r>
      <w:r>
        <w:rPr>
          <w:rFonts w:ascii="Titillium" w:hAnsi="Titillium" w:cs="Calibri"/>
          <w:i/>
          <w:sz w:val="18"/>
          <w:szCs w:val="18"/>
        </w:rPr>
        <w:t>[la stazione appaltante indica i documenti richiesti]</w:t>
      </w:r>
      <w:r>
        <w:rPr>
          <w:rFonts w:ascii="Titillium" w:hAnsi="Titillium" w:cs="Calibri"/>
          <w:sz w:val="18"/>
          <w:szCs w:val="18"/>
        </w:rPr>
        <w:t>.</w:t>
      </w:r>
    </w:p>
    <w:p w14:paraId="0F54EB89" w14:textId="77777777" w:rsidR="004C53A8" w:rsidRDefault="00870286" w:rsidP="00601972">
      <w:pPr>
        <w:pStyle w:val="Paragrafoelenco"/>
        <w:numPr>
          <w:ilvl w:val="0"/>
          <w:numId w:val="36"/>
        </w:numPr>
        <w:spacing w:before="60" w:after="60"/>
        <w:ind w:left="284" w:hanging="284"/>
      </w:pPr>
      <w:r>
        <w:rPr>
          <w:rFonts w:ascii="Titillium" w:hAnsi="Titillium" w:cs="Arial"/>
          <w:b/>
          <w:i/>
          <w:sz w:val="18"/>
          <w:szCs w:val="18"/>
        </w:rPr>
        <w:t xml:space="preserve"> [Facoltativo in caso di richiesta di certificazione del sistema di gestione] </w:t>
      </w:r>
      <w:r w:rsidRPr="00464444">
        <w:rPr>
          <w:rFonts w:ascii="Titillium" w:hAnsi="Titillium" w:cs="Arial"/>
          <w:sz w:val="18"/>
          <w:szCs w:val="18"/>
        </w:rPr>
        <w:t xml:space="preserve">Possesso di una valutazione di conformità del proprio sistema di gestione </w:t>
      </w:r>
      <w:r w:rsidRPr="00464444">
        <w:rPr>
          <w:rFonts w:ascii="Titillium" w:hAnsi="Titillium" w:cs="Arial"/>
          <w:i/>
          <w:sz w:val="18"/>
          <w:szCs w:val="18"/>
        </w:rPr>
        <w:t>… [indicare l’oggetto della valutazione, ad esempio “del proprio sistema di gestione della sicurezza delle informazioni”]</w:t>
      </w:r>
      <w:r w:rsidRPr="00464444">
        <w:rPr>
          <w:rFonts w:ascii="Titillium" w:hAnsi="Titillium" w:cs="Arial"/>
          <w:sz w:val="18"/>
          <w:szCs w:val="18"/>
        </w:rPr>
        <w:t xml:space="preserve"> alla/e norma/e …</w:t>
      </w:r>
      <w:r w:rsidRPr="00464444">
        <w:rPr>
          <w:rFonts w:ascii="Titillium" w:hAnsi="Titillium" w:cs="Calibri"/>
          <w:sz w:val="18"/>
          <w:szCs w:val="18"/>
        </w:rPr>
        <w:t xml:space="preserve"> </w:t>
      </w:r>
      <w:r w:rsidRPr="00464444">
        <w:rPr>
          <w:rFonts w:ascii="Titillium" w:hAnsi="Titillium" w:cs="Arial"/>
          <w:i/>
          <w:sz w:val="18"/>
          <w:szCs w:val="18"/>
        </w:rPr>
        <w:t>[indicare le norm</w:t>
      </w:r>
      <w:r>
        <w:rPr>
          <w:rFonts w:ascii="Titillium" w:hAnsi="Titillium" w:cs="Arial"/>
          <w:i/>
          <w:sz w:val="18"/>
          <w:szCs w:val="18"/>
        </w:rPr>
        <w:t xml:space="preserve">e/standard internazionali di riferimento, ad per esempio: ISO 27001] </w:t>
      </w:r>
      <w:r>
        <w:rPr>
          <w:rFonts w:ascii="Titillium" w:hAnsi="Titillium" w:cs="Calibri"/>
          <w:sz w:val="18"/>
          <w:szCs w:val="18"/>
        </w:rPr>
        <w:t xml:space="preserve">nel settore/ambito ... </w:t>
      </w:r>
      <w:r>
        <w:rPr>
          <w:rFonts w:ascii="Titillium" w:hAnsi="Titillium" w:cs="Calibri"/>
          <w:i/>
          <w:sz w:val="18"/>
          <w:szCs w:val="18"/>
        </w:rPr>
        <w:t>[IAF o altra classificazione applicabile, ad.es:</w:t>
      </w:r>
      <w:r>
        <w:rPr>
          <w:rFonts w:ascii="Titillium" w:hAnsi="Titillium" w:cs="Arial"/>
          <w:i/>
          <w:sz w:val="18"/>
          <w:szCs w:val="18"/>
        </w:rPr>
        <w:t xml:space="preserve"> IAF 33</w:t>
      </w:r>
      <w:r>
        <w:rPr>
          <w:rFonts w:ascii="Titillium" w:hAnsi="Titillium" w:cs="Arial"/>
          <w:sz w:val="18"/>
          <w:szCs w:val="18"/>
        </w:rPr>
        <w:t xml:space="preserve">], idonea, pertinente e proporzionata al seguente ambito di attività: </w:t>
      </w:r>
      <w:r>
        <w:rPr>
          <w:rFonts w:ascii="Titillium" w:hAnsi="Titillium" w:cs="Arial"/>
          <w:i/>
          <w:sz w:val="18"/>
          <w:szCs w:val="18"/>
        </w:rPr>
        <w:t>… [indicare il campo di applicazione/scopo del certificato, ad per esempio: “svi</w:t>
      </w:r>
      <w:bookmarkStart w:id="1470" w:name="_Ref495506178"/>
      <w:bookmarkEnd w:id="1470"/>
      <w:r>
        <w:rPr>
          <w:rFonts w:ascii="Titillium" w:hAnsi="Titillium" w:cs="Arial"/>
          <w:i/>
          <w:sz w:val="18"/>
          <w:szCs w:val="18"/>
        </w:rPr>
        <w:t>luppo software e gestione banche dati”].</w:t>
      </w:r>
    </w:p>
    <w:p w14:paraId="47DC8D82" w14:textId="23208AC8"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rilasciato da</w:t>
      </w:r>
      <w:r>
        <w:rPr>
          <w:rFonts w:ascii="Titillium" w:hAnsi="Titillium" w:cs="Arial"/>
          <w:sz w:val="18"/>
          <w:szCs w:val="18"/>
        </w:rPr>
        <w:t xml:space="preserve"> un </w:t>
      </w:r>
      <w:r>
        <w:rPr>
          <w:rFonts w:ascii="Titillium" w:hAnsi="Titillium" w:cs="Calibri"/>
          <w:sz w:val="18"/>
          <w:szCs w:val="18"/>
        </w:rPr>
        <w:t>organismo di certificazione</w:t>
      </w:r>
      <w:r>
        <w:rPr>
          <w:rFonts w:ascii="Titillium" w:hAnsi="Titillium" w:cs="Arial"/>
          <w:sz w:val="18"/>
          <w:szCs w:val="18"/>
        </w:rPr>
        <w:t xml:space="preserve"> accreditato ai sensi della norma </w:t>
      </w:r>
      <w:r>
        <w:rPr>
          <w:rFonts w:ascii="Titillium" w:hAnsi="Titillium" w:cs="Arial"/>
          <w:i/>
          <w:sz w:val="18"/>
          <w:szCs w:val="18"/>
        </w:rPr>
        <w:t xml:space="preserve">UNI CEI EN ISO/IEC 17021-1 </w:t>
      </w:r>
      <w:r>
        <w:rPr>
          <w:rFonts w:ascii="Titillium" w:hAnsi="Titillium" w:cs="Calibri"/>
          <w:i/>
          <w:sz w:val="18"/>
          <w:szCs w:val="18"/>
        </w:rPr>
        <w:t>[ove necessario aggiornare il riferimento]</w:t>
      </w:r>
      <w:r>
        <w:rPr>
          <w:rFonts w:ascii="Titillium" w:hAnsi="Titillium" w:cs="Calibri"/>
          <w:sz w:val="18"/>
          <w:szCs w:val="18"/>
        </w:rPr>
        <w:t xml:space="preserve"> per lo specifico settore e campo di applicazione richiesto, </w:t>
      </w:r>
      <w:r>
        <w:rPr>
          <w:rFonts w:ascii="Titillium" w:hAnsi="Titillium" w:cs="Arial"/>
          <w:sz w:val="18"/>
          <w:szCs w:val="18"/>
        </w:rPr>
        <w:t>da un Ente nazionale unico di accreditamento firmatario degli accordi EA/MLA oppure autorizzato a norma dell’articolo 5, paragrafo 2 del Regolamento (CE) n. 765/2008.</w:t>
      </w:r>
    </w:p>
    <w:p w14:paraId="732D8A8B" w14:textId="447325A7" w:rsidR="004C53A8" w:rsidRDefault="000F04A8">
      <w:pPr>
        <w:pStyle w:val="Paragrafoelenco"/>
        <w:spacing w:before="60" w:after="60"/>
        <w:ind w:left="0"/>
        <w:rPr>
          <w:rFonts w:ascii="Titillium" w:hAnsi="Titillium" w:cs="Calibri"/>
          <w:sz w:val="18"/>
          <w:szCs w:val="18"/>
        </w:rPr>
      </w:pPr>
      <w:r>
        <w:rPr>
          <w:rFonts w:ascii="Titillium" w:hAnsi="Titillium" w:cs="Calibri"/>
          <w:sz w:val="18"/>
          <w:szCs w:val="18"/>
        </w:rPr>
        <w:t>L</w:t>
      </w:r>
      <w:r w:rsidR="009E086C">
        <w:rPr>
          <w:rFonts w:ascii="Titillium" w:hAnsi="Titillium" w:cs="Calibri"/>
          <w:sz w:val="18"/>
          <w:szCs w:val="18"/>
        </w:rPr>
        <w:t xml:space="preserve">’operatore economico </w:t>
      </w:r>
      <w:r>
        <w:rPr>
          <w:rFonts w:ascii="Titillium" w:hAnsi="Titillium" w:cs="Calibri"/>
          <w:sz w:val="18"/>
          <w:szCs w:val="18"/>
        </w:rPr>
        <w:t xml:space="preserve">che </w:t>
      </w:r>
      <w:r w:rsidR="009E086C">
        <w:rPr>
          <w:rFonts w:ascii="Titillium" w:hAnsi="Titillium" w:cs="Calibri"/>
          <w:sz w:val="18"/>
          <w:szCs w:val="18"/>
        </w:rPr>
        <w:t xml:space="preserve">non ha </w:t>
      </w:r>
      <w:r w:rsidR="00AA6A95">
        <w:rPr>
          <w:rFonts w:ascii="Titillium" w:hAnsi="Titillium" w:cs="Calibri"/>
          <w:sz w:val="18"/>
          <w:szCs w:val="18"/>
        </w:rPr>
        <w:t xml:space="preserve">la possibilità di ottenere </w:t>
      </w:r>
      <w:r w:rsidR="009E086C">
        <w:rPr>
          <w:rFonts w:ascii="Titillium" w:hAnsi="Titillium" w:cs="Calibri"/>
          <w:sz w:val="18"/>
          <w:szCs w:val="18"/>
        </w:rPr>
        <w:t xml:space="preserve">la predetta documentazione entro il termine richiesto, per causa a sé non imputabile, </w:t>
      </w:r>
      <w:r>
        <w:rPr>
          <w:rFonts w:ascii="Titillium" w:hAnsi="Titillium" w:cs="Calibri"/>
          <w:sz w:val="18"/>
          <w:szCs w:val="18"/>
        </w:rPr>
        <w:t xml:space="preserve">può presentare </w:t>
      </w:r>
      <w:r w:rsidR="009E086C">
        <w:rPr>
          <w:rFonts w:ascii="Titillium" w:hAnsi="Titillium" w:cs="Calibri"/>
          <w:sz w:val="18"/>
          <w:szCs w:val="18"/>
        </w:rPr>
        <w:t>altri me</w:t>
      </w:r>
      <w:r w:rsidR="00AA6A95">
        <w:rPr>
          <w:rFonts w:ascii="Titillium" w:hAnsi="Titillium" w:cs="Calibri"/>
          <w:sz w:val="18"/>
          <w:szCs w:val="18"/>
        </w:rPr>
        <w:t xml:space="preserve">zzi </w:t>
      </w:r>
      <w:r>
        <w:rPr>
          <w:rFonts w:ascii="Titillium" w:hAnsi="Titillium" w:cs="Calibri"/>
          <w:sz w:val="18"/>
          <w:szCs w:val="18"/>
        </w:rPr>
        <w:t xml:space="preserve">a </w:t>
      </w:r>
      <w:r w:rsidR="001B6072">
        <w:rPr>
          <w:rFonts w:ascii="Titillium" w:hAnsi="Titillium" w:cs="Calibri"/>
          <w:sz w:val="18"/>
          <w:szCs w:val="18"/>
        </w:rPr>
        <w:t>comprova del requisito</w:t>
      </w:r>
      <w:r w:rsidR="00AA6A95">
        <w:rPr>
          <w:rFonts w:ascii="Titillium" w:hAnsi="Titillium" w:cs="Calibri"/>
          <w:sz w:val="18"/>
          <w:szCs w:val="18"/>
        </w:rPr>
        <w:t xml:space="preserve"> idonei a dimostrare che il sistema adottato soddisfa </w:t>
      </w:r>
      <w:r w:rsidR="00870286">
        <w:rPr>
          <w:rFonts w:ascii="Titillium" w:hAnsi="Titillium" w:cs="Calibri"/>
          <w:sz w:val="18"/>
          <w:szCs w:val="18"/>
        </w:rPr>
        <w:t xml:space="preserve">gli standard sopra </w:t>
      </w:r>
      <w:r w:rsidR="00AA6A95">
        <w:rPr>
          <w:rFonts w:ascii="Titillium" w:hAnsi="Titillium" w:cs="Calibri"/>
          <w:sz w:val="18"/>
          <w:szCs w:val="18"/>
        </w:rPr>
        <w:t>richiesti</w:t>
      </w:r>
      <w:r w:rsidR="00870286">
        <w:rPr>
          <w:rFonts w:ascii="Titillium" w:hAnsi="Titillium" w:cs="Calibri"/>
          <w:sz w:val="18"/>
          <w:szCs w:val="18"/>
        </w:rPr>
        <w:t>.</w:t>
      </w:r>
    </w:p>
    <w:tbl>
      <w:tblPr>
        <w:tblW w:w="9215" w:type="dxa"/>
        <w:tblInd w:w="-113" w:type="dxa"/>
        <w:tblLook w:val="04A0" w:firstRow="1" w:lastRow="0" w:firstColumn="1" w:lastColumn="0" w:noHBand="0" w:noVBand="1"/>
      </w:tblPr>
      <w:tblGrid>
        <w:gridCol w:w="9215"/>
      </w:tblGrid>
      <w:tr w:rsidR="004C53A8" w14:paraId="7B3D346F" w14:textId="77777777">
        <w:tc>
          <w:tcPr>
            <w:tcW w:w="9215" w:type="dxa"/>
            <w:tcBorders>
              <w:top w:val="single" w:sz="4" w:space="0" w:color="000000"/>
              <w:left w:val="single" w:sz="4" w:space="0" w:color="000000"/>
              <w:bottom w:val="single" w:sz="4" w:space="0" w:color="000000"/>
              <w:right w:val="single" w:sz="4" w:space="0" w:color="000000"/>
            </w:tcBorders>
          </w:tcPr>
          <w:p w14:paraId="3528D9ED" w14:textId="396A7AF6" w:rsidR="004C53A8" w:rsidRDefault="00870286" w:rsidP="000F04A8">
            <w:pPr>
              <w:pStyle w:val="Paragrafoelenco"/>
              <w:spacing w:before="60" w:after="60"/>
              <w:ind w:left="0"/>
              <w:rPr>
                <w:rFonts w:ascii="Titillium" w:hAnsi="Titillium" w:cs="Calibri"/>
                <w:i/>
                <w:sz w:val="18"/>
                <w:szCs w:val="18"/>
              </w:rPr>
            </w:pPr>
            <w:r>
              <w:rPr>
                <w:rFonts w:ascii="Titillium" w:hAnsi="Titillium" w:cs="Calibri"/>
                <w:i/>
                <w:sz w:val="18"/>
                <w:szCs w:val="18"/>
              </w:rPr>
              <w:t xml:space="preserve">N.B. </w:t>
            </w:r>
            <w:r w:rsidR="000F04A8">
              <w:rPr>
                <w:rFonts w:ascii="Titillium" w:hAnsi="Titillium" w:cs="Calibri"/>
                <w:i/>
                <w:sz w:val="18"/>
                <w:szCs w:val="18"/>
              </w:rPr>
              <w:t>N</w:t>
            </w:r>
            <w:r>
              <w:rPr>
                <w:rFonts w:ascii="Titillium" w:hAnsi="Titillium" w:cs="Calibri"/>
                <w:i/>
                <w:sz w:val="18"/>
                <w:szCs w:val="18"/>
              </w:rPr>
              <w:t xml:space="preserve">el caso in cui la stazione appaltante richieda altre valutazioni di conformità (certificazione del personale, verifica e convalida, ispezione, prova, taratura etc.) adegua la suddetta clausola a quanto </w:t>
            </w:r>
            <w:r w:rsidR="009E086C">
              <w:rPr>
                <w:rFonts w:ascii="Titillium" w:hAnsi="Titillium" w:cs="Calibri"/>
                <w:i/>
                <w:sz w:val="18"/>
                <w:szCs w:val="18"/>
              </w:rPr>
              <w:t>richiesto dalla stessa</w:t>
            </w:r>
            <w:r>
              <w:rPr>
                <w:rFonts w:ascii="Titillium" w:hAnsi="Titillium" w:cs="Calibri"/>
                <w:i/>
                <w:sz w:val="18"/>
                <w:szCs w:val="18"/>
              </w:rPr>
              <w:t>.</w:t>
            </w:r>
          </w:p>
        </w:tc>
      </w:tr>
    </w:tbl>
    <w:p w14:paraId="160D0147"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in caso di richiesta della certificazione del sistema di gestione della qualità] </w:t>
      </w:r>
      <w:r w:rsidRPr="00A54A9A">
        <w:rPr>
          <w:rFonts w:ascii="Titillium" w:hAnsi="Titillium" w:cs="Arial"/>
          <w:sz w:val="18"/>
          <w:szCs w:val="18"/>
        </w:rPr>
        <w:t xml:space="preserve">Possesso di una valutazione di conformità </w:t>
      </w:r>
      <w:r w:rsidRPr="00A54A9A">
        <w:rPr>
          <w:rFonts w:ascii="Titillium" w:hAnsi="Titillium" w:cs="Arial"/>
          <w:bCs/>
          <w:sz w:val="18"/>
          <w:szCs w:val="18"/>
        </w:rPr>
        <w:t>del proprio sistema di gestione della</w:t>
      </w:r>
      <w:r w:rsidRPr="00A54A9A">
        <w:rPr>
          <w:rFonts w:ascii="Titillium" w:hAnsi="Titillium" w:cs="Arial"/>
          <w:sz w:val="18"/>
          <w:szCs w:val="18"/>
        </w:rPr>
        <w:t xml:space="preserve"> qualità alla norma UNI EN ISO 9001:2015 </w:t>
      </w:r>
      <w:r w:rsidRPr="00A54A9A">
        <w:rPr>
          <w:rFonts w:ascii="Titillium" w:hAnsi="Titillium" w:cs="Arial"/>
          <w:i/>
          <w:sz w:val="18"/>
          <w:szCs w:val="18"/>
        </w:rPr>
        <w:t>[ove necessario aggiornare il riferimento]</w:t>
      </w:r>
      <w:r w:rsidRPr="00A54A9A">
        <w:rPr>
          <w:rFonts w:ascii="Titillium" w:hAnsi="Titillium" w:cs="Arial"/>
          <w:sz w:val="18"/>
          <w:szCs w:val="18"/>
        </w:rPr>
        <w:t xml:space="preserve"> nel settore … </w:t>
      </w:r>
      <w:r w:rsidRPr="00A54A9A">
        <w:rPr>
          <w:rFonts w:ascii="Titillium" w:hAnsi="Titillium" w:cs="Arial"/>
          <w:i/>
          <w:sz w:val="18"/>
          <w:szCs w:val="18"/>
        </w:rPr>
        <w:t>[indicare l’opportuno settore/ambito, ad per esempio: “nel</w:t>
      </w:r>
      <w:r>
        <w:rPr>
          <w:rFonts w:ascii="Titillium" w:hAnsi="Titillium" w:cs="Arial"/>
          <w:i/>
          <w:sz w:val="18"/>
          <w:szCs w:val="18"/>
        </w:rPr>
        <w:t xml:space="preserve"> settore IAF 30” </w:t>
      </w:r>
      <w:r>
        <w:rPr>
          <w:rFonts w:ascii="Titillium" w:hAnsi="Titillium" w:cs="Calibri"/>
          <w:i/>
          <w:sz w:val="18"/>
          <w:szCs w:val="18"/>
        </w:rPr>
        <w:t>o altra classificazione applicabile</w:t>
      </w:r>
      <w:r>
        <w:rPr>
          <w:rFonts w:ascii="Titillium" w:hAnsi="Titillium" w:cs="Arial"/>
          <w:i/>
          <w:sz w:val="18"/>
          <w:szCs w:val="18"/>
        </w:rPr>
        <w:t>],</w:t>
      </w:r>
      <w:r>
        <w:rPr>
          <w:rFonts w:ascii="Titillium" w:hAnsi="Titillium" w:cs="Arial"/>
          <w:sz w:val="18"/>
          <w:szCs w:val="18"/>
        </w:rPr>
        <w:t xml:space="preserve"> idonea, pertinente e proporzionata al seguente oggetto: </w:t>
      </w:r>
      <w:r>
        <w:rPr>
          <w:rFonts w:ascii="Titillium" w:hAnsi="Titillium" w:cs="Arial"/>
          <w:i/>
          <w:sz w:val="18"/>
          <w:szCs w:val="18"/>
        </w:rPr>
        <w:t>… [indicare il campo di applicazione/scopo del certificato, ad per esempio: “servizio di ristorazione”].</w:t>
      </w:r>
    </w:p>
    <w:p w14:paraId="0BF6BE2A" w14:textId="77777777"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rilasciato da un organismo di certificazione</w:t>
      </w:r>
      <w:r>
        <w:rPr>
          <w:rFonts w:ascii="Titillium" w:hAnsi="Titillium" w:cs="Arial"/>
          <w:sz w:val="18"/>
          <w:szCs w:val="18"/>
        </w:rPr>
        <w:t xml:space="preserve"> accreditato ai sensi della norma </w:t>
      </w:r>
      <w:r>
        <w:rPr>
          <w:rFonts w:ascii="Titillium" w:hAnsi="Titillium" w:cs="Arial"/>
          <w:i/>
          <w:sz w:val="18"/>
          <w:szCs w:val="18"/>
        </w:rPr>
        <w:t xml:space="preserve">UNI CEI EN ISO/IEC 17021-1 </w:t>
      </w:r>
      <w:r>
        <w:rPr>
          <w:rFonts w:ascii="Titillium" w:hAnsi="Titillium" w:cs="Calibri"/>
          <w:i/>
          <w:sz w:val="18"/>
          <w:szCs w:val="18"/>
        </w:rPr>
        <w:t>[ove necessario aggiornare il riferimento]</w:t>
      </w:r>
      <w:r>
        <w:rPr>
          <w:rFonts w:ascii="Titillium" w:hAnsi="Titillium" w:cs="Calibri"/>
          <w:sz w:val="18"/>
          <w:szCs w:val="18"/>
        </w:rPr>
        <w:t xml:space="preserve"> per lo specifico settore e campo di applicazione/scopo del certificato richiesto, </w:t>
      </w:r>
      <w:r>
        <w:rPr>
          <w:rFonts w:ascii="Titillium" w:hAnsi="Titillium" w:cs="Arial"/>
          <w:sz w:val="18"/>
          <w:szCs w:val="18"/>
        </w:rPr>
        <w:t xml:space="preserve">da un Ente nazionale unico di accreditamento firmatario degli accordi EA/MLA oppure autorizzato a norma dell’articolo 5, paragrafo 2 del Regolamento (CE), n. 765/2008. </w:t>
      </w:r>
    </w:p>
    <w:p w14:paraId="684FFEFD" w14:textId="49A189CF" w:rsidR="00F03E73" w:rsidRDefault="000148A7" w:rsidP="00F03E73">
      <w:pPr>
        <w:pStyle w:val="Paragrafoelenco"/>
        <w:spacing w:before="60" w:after="60"/>
        <w:ind w:left="0"/>
        <w:rPr>
          <w:rFonts w:ascii="Titillium" w:hAnsi="Titillium" w:cs="Calibri"/>
          <w:sz w:val="18"/>
          <w:szCs w:val="18"/>
        </w:rPr>
      </w:pPr>
      <w:r>
        <w:rPr>
          <w:rFonts w:ascii="Titillium" w:hAnsi="Titillium" w:cs="Calibri"/>
          <w:sz w:val="18"/>
          <w:szCs w:val="18"/>
        </w:rPr>
        <w:t xml:space="preserve">L’operatore economico che non ha la possibilità di ottenere la predetta documentazione entro il termine richiesto, per causa a sé non imputabile, può presentare altri mezzi di prova idonei a dimostrare </w:t>
      </w:r>
      <w:r w:rsidR="00F03E73">
        <w:rPr>
          <w:rFonts w:ascii="Titillium" w:hAnsi="Titillium" w:cs="Calibri"/>
          <w:sz w:val="18"/>
          <w:szCs w:val="18"/>
        </w:rPr>
        <w:t>che le misure di garanzia della qualità soddisfano le norme di garanzia richieste.</w:t>
      </w:r>
    </w:p>
    <w:p w14:paraId="530D03B6"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per gli appalti di servizi in cui si richiede la certificazione delle misure di gestione ambientale] </w:t>
      </w:r>
      <w:r>
        <w:rPr>
          <w:rFonts w:ascii="Titillium" w:hAnsi="Titillium" w:cs="Arial"/>
          <w:sz w:val="18"/>
          <w:szCs w:val="18"/>
        </w:rPr>
        <w:t xml:space="preserve">Possesso di </w:t>
      </w:r>
      <w:r w:rsidRPr="00A54A9A">
        <w:rPr>
          <w:rFonts w:ascii="Titillium" w:hAnsi="Titillium" w:cs="Arial"/>
          <w:sz w:val="18"/>
          <w:szCs w:val="18"/>
        </w:rPr>
        <w:t xml:space="preserve">valutazione di conformità delle proprie </w:t>
      </w:r>
      <w:r w:rsidRPr="00A54A9A">
        <w:rPr>
          <w:rFonts w:ascii="Titillium" w:hAnsi="Titillium" w:cs="Calibri"/>
          <w:sz w:val="18"/>
          <w:szCs w:val="18"/>
        </w:rPr>
        <w:t>misure di gestione ambientale alla</w:t>
      </w:r>
      <w:r>
        <w:rPr>
          <w:rFonts w:ascii="Titillium" w:hAnsi="Titillium" w:cs="Calibri"/>
          <w:sz w:val="18"/>
          <w:szCs w:val="18"/>
        </w:rPr>
        <w:t xml:space="preserve">/e norma/e … </w:t>
      </w:r>
      <w:r>
        <w:rPr>
          <w:rFonts w:ascii="Titillium" w:hAnsi="Titillium" w:cs="Calibri"/>
          <w:i/>
          <w:sz w:val="18"/>
          <w:szCs w:val="18"/>
        </w:rPr>
        <w:t>[indicare il sistema EMAS o altri sistemi di gestione ambientale conformi all’articolo 45 del Regolamento CE 1221/2009 oppure indicare le norme di gestione ambientale fondate su norme europee o internazionali, ad esempio: UNI EN ISO 14001:2015]</w:t>
      </w:r>
      <w:r>
        <w:rPr>
          <w:rFonts w:ascii="Titillium" w:hAnsi="Titillium" w:cs="Calibri"/>
          <w:sz w:val="18"/>
          <w:szCs w:val="18"/>
        </w:rPr>
        <w:t xml:space="preserve"> nel settore ... </w:t>
      </w:r>
      <w:r>
        <w:rPr>
          <w:rFonts w:ascii="Titillium" w:hAnsi="Titillium" w:cs="Calibri"/>
          <w:i/>
          <w:sz w:val="18"/>
          <w:szCs w:val="18"/>
        </w:rPr>
        <w:t>[indicare il pertinente settore IAF o altra classificazione applicabile]</w:t>
      </w:r>
      <w:r>
        <w:rPr>
          <w:rFonts w:ascii="Titillium" w:hAnsi="Titillium" w:cs="Calibri"/>
          <w:sz w:val="18"/>
          <w:szCs w:val="18"/>
        </w:rPr>
        <w:t xml:space="preserve"> </w:t>
      </w:r>
      <w:r>
        <w:rPr>
          <w:rFonts w:ascii="Titillium" w:hAnsi="Titillium" w:cs="Arial"/>
          <w:sz w:val="18"/>
          <w:szCs w:val="18"/>
        </w:rPr>
        <w:t xml:space="preserve">idonea, pertinente e proporzionata al seguente oggetto: </w:t>
      </w:r>
      <w:r>
        <w:rPr>
          <w:rFonts w:ascii="Titillium" w:hAnsi="Titillium" w:cs="Arial"/>
          <w:i/>
          <w:sz w:val="18"/>
          <w:szCs w:val="18"/>
        </w:rPr>
        <w:t>… [indicare il campo di applicazione/scopo del certificato, ad per esempio: “gestione di discarica e smaltimento di rifiuti industriali” etc.].</w:t>
      </w:r>
    </w:p>
    <w:p w14:paraId="35544ABD" w14:textId="16B79EBE"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del sistema di gestione ambientale rilasciato da</w:t>
      </w:r>
      <w:r>
        <w:rPr>
          <w:rFonts w:ascii="Titillium" w:hAnsi="Titillium" w:cs="Arial"/>
          <w:sz w:val="18"/>
          <w:szCs w:val="18"/>
        </w:rPr>
        <w:t xml:space="preserve"> un organismo di certificazione </w:t>
      </w:r>
      <w:r>
        <w:rPr>
          <w:rFonts w:ascii="Titillium" w:hAnsi="Titillium" w:cs="Calibri"/>
          <w:sz w:val="18"/>
          <w:szCs w:val="18"/>
        </w:rPr>
        <w:t>accreditato</w:t>
      </w:r>
      <w:r w:rsidR="002F24AA">
        <w:rPr>
          <w:rFonts w:ascii="Titillium" w:hAnsi="Titillium" w:cs="Calibri"/>
          <w:sz w:val="18"/>
          <w:szCs w:val="18"/>
        </w:rPr>
        <w:t xml:space="preserve"> in Italia o che opera in virtù degli</w:t>
      </w:r>
      <w:r w:rsidR="003B6241">
        <w:rPr>
          <w:rFonts w:ascii="Titillium" w:hAnsi="Titillium" w:cs="Calibri"/>
          <w:sz w:val="18"/>
          <w:szCs w:val="18"/>
        </w:rPr>
        <w:t xml:space="preserve"> accordi di mutuo riconoscimento</w:t>
      </w:r>
      <w:r w:rsidR="002F24AA">
        <w:rPr>
          <w:rFonts w:ascii="Titillium" w:hAnsi="Titillium" w:cs="Calibri"/>
          <w:sz w:val="18"/>
          <w:szCs w:val="18"/>
        </w:rPr>
        <w:t xml:space="preserve"> EA</w:t>
      </w:r>
      <w:r w:rsidR="003B6241">
        <w:rPr>
          <w:rFonts w:ascii="Titillium" w:hAnsi="Titillium" w:cs="Calibri"/>
          <w:sz w:val="18"/>
          <w:szCs w:val="18"/>
        </w:rPr>
        <w:t>/MLA o IAF/MLA.</w:t>
      </w:r>
      <w:r>
        <w:rPr>
          <w:rFonts w:ascii="Titillium" w:hAnsi="Titillium" w:cs="Arial"/>
          <w:sz w:val="18"/>
          <w:szCs w:val="18"/>
        </w:rPr>
        <w:t xml:space="preserve"> </w:t>
      </w:r>
    </w:p>
    <w:p w14:paraId="1C01E02D" w14:textId="451CACC7" w:rsidR="00F03E73" w:rsidRDefault="000148A7" w:rsidP="00F03E73">
      <w:pPr>
        <w:pStyle w:val="Paragrafoelenco"/>
        <w:spacing w:before="60" w:after="60"/>
        <w:ind w:left="0"/>
        <w:rPr>
          <w:rFonts w:ascii="Titillium" w:hAnsi="Titillium" w:cs="Calibri"/>
          <w:sz w:val="18"/>
          <w:szCs w:val="18"/>
        </w:rPr>
      </w:pPr>
      <w:r>
        <w:rPr>
          <w:rFonts w:ascii="Titillium" w:hAnsi="Titillium" w:cs="Calibri"/>
          <w:sz w:val="18"/>
          <w:szCs w:val="18"/>
        </w:rPr>
        <w:t xml:space="preserve">L’operatore economico che non ha la possibilità di ottenere la predetta documentazione entro il termine richiesto, per causa a sé non imputabile, può presentare altri mezzi di prova idonei a dimostrare </w:t>
      </w:r>
      <w:r w:rsidR="00F03E73">
        <w:rPr>
          <w:rFonts w:ascii="Titillium" w:hAnsi="Titillium" w:cs="Calibri"/>
          <w:sz w:val="18"/>
          <w:szCs w:val="18"/>
        </w:rPr>
        <w:t>che le misure adottate sono equivalenti a quelle richieste.</w:t>
      </w:r>
    </w:p>
    <w:p w14:paraId="5A636BFD" w14:textId="5F7876CB" w:rsidR="004C53A8" w:rsidRDefault="00870286" w:rsidP="00601972">
      <w:pPr>
        <w:pStyle w:val="Paragrafoelenco"/>
        <w:numPr>
          <w:ilvl w:val="0"/>
          <w:numId w:val="31"/>
        </w:numPr>
        <w:tabs>
          <w:tab w:val="left" w:pos="2363"/>
        </w:tabs>
        <w:spacing w:before="60" w:after="60"/>
        <w:ind w:left="284" w:hanging="284"/>
      </w:pPr>
      <w:r>
        <w:rPr>
          <w:rFonts w:ascii="Titillium" w:hAnsi="Titillium" w:cs="Arial"/>
          <w:b/>
          <w:i/>
          <w:sz w:val="18"/>
          <w:szCs w:val="18"/>
        </w:rPr>
        <w:t xml:space="preserve">[Facoltativo] </w:t>
      </w:r>
      <w:r>
        <w:rPr>
          <w:rFonts w:ascii="Titillium" w:hAnsi="Titillium" w:cs="Arial"/>
          <w:sz w:val="18"/>
          <w:szCs w:val="18"/>
        </w:rPr>
        <w:t xml:space="preserve">Possesso dei seguenti </w:t>
      </w:r>
      <w:r w:rsidRPr="009133D6">
        <w:rPr>
          <w:rFonts w:ascii="Titillium" w:hAnsi="Titillium" w:cs="Arial"/>
          <w:sz w:val="18"/>
          <w:szCs w:val="18"/>
        </w:rPr>
        <w:t>sistemi di gestione e di tracciabilità della catena di approvvigionamento</w:t>
      </w:r>
      <w:r>
        <w:rPr>
          <w:rFonts w:ascii="Titillium" w:hAnsi="Titillium" w:cs="Arial"/>
          <w:b/>
          <w:sz w:val="18"/>
          <w:szCs w:val="18"/>
        </w:rPr>
        <w:t xml:space="preserve"> </w:t>
      </w:r>
      <w:r>
        <w:rPr>
          <w:rFonts w:ascii="Titillium" w:hAnsi="Titillium" w:cs="Arial"/>
          <w:sz w:val="18"/>
          <w:szCs w:val="18"/>
        </w:rPr>
        <w:t xml:space="preserve">durante l’esecuzione dell’appalto ... </w:t>
      </w:r>
      <w:r>
        <w:rPr>
          <w:rFonts w:ascii="Titillium" w:hAnsi="Titillium" w:cs="Arial"/>
          <w:i/>
          <w:sz w:val="18"/>
          <w:szCs w:val="18"/>
        </w:rPr>
        <w:t>[descrivere dettagliatamente le misure che si ritengono essenziali per accedere alla gara, per esempio misure per la gestione delle scorte di magazzino].</w:t>
      </w:r>
    </w:p>
    <w:p w14:paraId="3332B901" w14:textId="4DFF2C89" w:rsidR="004C53A8" w:rsidRDefault="00870286">
      <w:pPr>
        <w:spacing w:before="60" w:after="60"/>
      </w:pPr>
      <w:r w:rsidRPr="002F24AA">
        <w:rPr>
          <w:rFonts w:ascii="Titillium" w:hAnsi="Titillium" w:cs="Calibri"/>
          <w:sz w:val="18"/>
          <w:szCs w:val="18"/>
        </w:rPr>
        <w:t>La comprova del requisito</w:t>
      </w:r>
      <w:r>
        <w:rPr>
          <w:rFonts w:ascii="Titillium" w:hAnsi="Titillium" w:cs="Calibri"/>
          <w:sz w:val="18"/>
          <w:szCs w:val="18"/>
        </w:rPr>
        <w:t xml:space="preserve"> è fornita mediante … </w:t>
      </w:r>
      <w:r>
        <w:rPr>
          <w:rFonts w:ascii="Titillium" w:hAnsi="Titillium" w:cs="Calibri"/>
          <w:i/>
          <w:sz w:val="18"/>
          <w:szCs w:val="18"/>
        </w:rPr>
        <w:t xml:space="preserve">[la stazione appaltante specifica i </w:t>
      </w:r>
      <w:r w:rsidR="00F20287">
        <w:rPr>
          <w:rFonts w:ascii="Titillium" w:hAnsi="Titillium" w:cs="Calibri"/>
          <w:i/>
          <w:sz w:val="18"/>
          <w:szCs w:val="18"/>
        </w:rPr>
        <w:t xml:space="preserve">dati o i </w:t>
      </w:r>
      <w:r>
        <w:rPr>
          <w:rFonts w:ascii="Titillium" w:hAnsi="Titillium" w:cs="Calibri"/>
          <w:i/>
          <w:sz w:val="18"/>
          <w:szCs w:val="18"/>
        </w:rPr>
        <w:t>documenti richiesti]</w:t>
      </w:r>
      <w:r>
        <w:rPr>
          <w:rFonts w:ascii="Titillium" w:hAnsi="Titillium" w:cs="Calibri"/>
          <w:sz w:val="18"/>
          <w:szCs w:val="18"/>
        </w:rPr>
        <w:t>.</w:t>
      </w:r>
    </w:p>
    <w:p w14:paraId="07AEEF28" w14:textId="60CB7EBB" w:rsidR="004C53A8" w:rsidRPr="00CB0248" w:rsidRDefault="00870286" w:rsidP="00601972">
      <w:pPr>
        <w:pStyle w:val="Paragrafoelenco"/>
        <w:numPr>
          <w:ilvl w:val="0"/>
          <w:numId w:val="31"/>
        </w:numPr>
        <w:tabs>
          <w:tab w:val="left" w:pos="426"/>
        </w:tabs>
        <w:spacing w:before="60" w:after="60"/>
      </w:pPr>
      <w:r w:rsidRPr="00CB0248">
        <w:rPr>
          <w:rFonts w:ascii="Titillium" w:hAnsi="Titillium" w:cs="Arial"/>
          <w:b/>
          <w:i/>
          <w:sz w:val="18"/>
          <w:szCs w:val="18"/>
        </w:rPr>
        <w:t xml:space="preserve">[Facoltativo: in caso di prodotti o servizi di natura complessa o che, eccezionalmente, siano richiesti per una finalità particolare] </w:t>
      </w:r>
      <w:r w:rsidRPr="00CB0248">
        <w:rPr>
          <w:rFonts w:ascii="Titillium" w:hAnsi="Titillium" w:cs="Arial"/>
          <w:sz w:val="18"/>
          <w:szCs w:val="18"/>
        </w:rPr>
        <w:t>Superamento con esito positivo di verifiche</w:t>
      </w:r>
      <w:r w:rsidR="003B6241" w:rsidRPr="00CB0248">
        <w:rPr>
          <w:rFonts w:ascii="Titillium" w:hAnsi="Titillium" w:cs="Arial"/>
          <w:b/>
          <w:sz w:val="18"/>
          <w:szCs w:val="18"/>
        </w:rPr>
        <w:t xml:space="preserve"> </w:t>
      </w:r>
      <w:r w:rsidR="003B6241" w:rsidRPr="00CB0248">
        <w:rPr>
          <w:rFonts w:ascii="Titillium" w:hAnsi="Titillium" w:cs="Arial"/>
          <w:sz w:val="18"/>
          <w:szCs w:val="18"/>
        </w:rPr>
        <w:t>da parte … [</w:t>
      </w:r>
      <w:r w:rsidR="003B6241" w:rsidRPr="00CB0248">
        <w:rPr>
          <w:rFonts w:ascii="Titillium" w:hAnsi="Titillium" w:cs="Arial"/>
          <w:i/>
          <w:sz w:val="18"/>
          <w:szCs w:val="18"/>
        </w:rPr>
        <w:t xml:space="preserve">specificare chi svolge le verifiche, ad esempio: </w:t>
      </w:r>
      <w:r w:rsidRPr="00CB0248">
        <w:rPr>
          <w:rFonts w:ascii="Titillium" w:hAnsi="Titillium" w:cs="Arial"/>
          <w:i/>
          <w:sz w:val="18"/>
          <w:szCs w:val="18"/>
        </w:rPr>
        <w:t>l’amministrazione aggiudicatrice o, per suo conto, un organismo ufficiale competente del paese in cui il fornitore o il prestatore dei servizi è stabilito</w:t>
      </w:r>
      <w:r w:rsidR="003B6241" w:rsidRPr="00CB0248">
        <w:rPr>
          <w:rFonts w:ascii="Titillium" w:hAnsi="Titillium" w:cs="Arial"/>
          <w:i/>
          <w:sz w:val="18"/>
          <w:szCs w:val="18"/>
        </w:rPr>
        <w:t>] relative a …</w:t>
      </w:r>
      <w:r w:rsidRPr="00CB0248">
        <w:rPr>
          <w:rFonts w:ascii="Titillium" w:hAnsi="Titillium" w:cs="Arial"/>
          <w:i/>
          <w:sz w:val="18"/>
          <w:szCs w:val="18"/>
        </w:rPr>
        <w:t xml:space="preserve"> </w:t>
      </w:r>
      <w:r w:rsidR="003B6241" w:rsidRPr="00CB0248">
        <w:rPr>
          <w:rFonts w:ascii="Titillium" w:hAnsi="Titillium" w:cs="Arial"/>
          <w:i/>
          <w:sz w:val="18"/>
          <w:szCs w:val="18"/>
        </w:rPr>
        <w:t xml:space="preserve">[specificare l’oggetto delle verifiche relative alla </w:t>
      </w:r>
      <w:r w:rsidRPr="00CB0248">
        <w:rPr>
          <w:rFonts w:ascii="Titillium" w:hAnsi="Titillium" w:cs="Arial"/>
          <w:i/>
          <w:sz w:val="18"/>
          <w:szCs w:val="18"/>
        </w:rPr>
        <w:t>capacità di produzione</w:t>
      </w:r>
      <w:r w:rsidR="003B6241" w:rsidRPr="00CB0248">
        <w:rPr>
          <w:rFonts w:ascii="Titillium" w:hAnsi="Titillium" w:cs="Arial"/>
          <w:i/>
          <w:sz w:val="18"/>
          <w:szCs w:val="18"/>
        </w:rPr>
        <w:t xml:space="preserve"> (del fornitore), a</w:t>
      </w:r>
      <w:r w:rsidRPr="00CB0248">
        <w:rPr>
          <w:rFonts w:ascii="Titillium" w:hAnsi="Titillium" w:cs="Arial"/>
          <w:i/>
          <w:sz w:val="18"/>
          <w:szCs w:val="18"/>
        </w:rPr>
        <w:t xml:space="preserve">lla capacità tecnica (del prestatore di servizi) e [se necessario] </w:t>
      </w:r>
      <w:r w:rsidR="003B6241" w:rsidRPr="00CB0248">
        <w:rPr>
          <w:rFonts w:ascii="Titillium" w:hAnsi="Titillium" w:cs="Arial"/>
          <w:i/>
          <w:sz w:val="18"/>
          <w:szCs w:val="18"/>
        </w:rPr>
        <w:t>a</w:t>
      </w:r>
      <w:r w:rsidRPr="00CB0248">
        <w:rPr>
          <w:rFonts w:ascii="Titillium" w:hAnsi="Titillium" w:cs="Arial"/>
          <w:i/>
          <w:sz w:val="18"/>
          <w:szCs w:val="18"/>
        </w:rPr>
        <w:t>gli strumenti di studio e di ricerca di cui dispone il concorrente</w:t>
      </w:r>
      <w:r w:rsidR="003B6241" w:rsidRPr="00CB0248">
        <w:rPr>
          <w:rFonts w:ascii="Titillium" w:hAnsi="Titillium" w:cs="Arial"/>
          <w:i/>
          <w:sz w:val="18"/>
          <w:szCs w:val="18"/>
        </w:rPr>
        <w:t xml:space="preserve">, ovvero rimandare </w:t>
      </w:r>
      <w:r w:rsidR="00032F35" w:rsidRPr="00CB0248">
        <w:rPr>
          <w:rFonts w:ascii="Titillium" w:hAnsi="Titillium" w:cs="Arial"/>
          <w:i/>
          <w:sz w:val="18"/>
          <w:szCs w:val="18"/>
        </w:rPr>
        <w:t>al paragrafo</w:t>
      </w:r>
      <w:r w:rsidR="003B6241" w:rsidRPr="00CB0248">
        <w:rPr>
          <w:rFonts w:ascii="Titillium" w:hAnsi="Titillium" w:cs="Arial"/>
          <w:i/>
          <w:sz w:val="18"/>
          <w:szCs w:val="18"/>
        </w:rPr>
        <w:t xml:space="preserve"> del </w:t>
      </w:r>
      <w:r w:rsidR="00032F35" w:rsidRPr="00CB0248">
        <w:rPr>
          <w:rFonts w:ascii="Titillium" w:hAnsi="Titillium" w:cs="Arial"/>
          <w:i/>
          <w:sz w:val="18"/>
          <w:szCs w:val="18"/>
        </w:rPr>
        <w:t xml:space="preserve">Capitolato </w:t>
      </w:r>
      <w:r w:rsidR="003B6241" w:rsidRPr="00CB0248">
        <w:rPr>
          <w:rFonts w:ascii="Titillium" w:hAnsi="Titillium" w:cs="Arial"/>
          <w:i/>
          <w:sz w:val="18"/>
          <w:szCs w:val="18"/>
        </w:rPr>
        <w:t>in cui sono descritte in dettaglio</w:t>
      </w:r>
      <w:r w:rsidR="003B6241" w:rsidRPr="00CB0248">
        <w:rPr>
          <w:rFonts w:ascii="Titillium" w:hAnsi="Titillium" w:cs="Arial"/>
          <w:sz w:val="18"/>
          <w:szCs w:val="18"/>
        </w:rPr>
        <w:t>]</w:t>
      </w:r>
      <w:r w:rsidRPr="00CB0248">
        <w:rPr>
          <w:rFonts w:ascii="Titillium" w:hAnsi="Titillium" w:cs="Arial"/>
          <w:sz w:val="18"/>
          <w:szCs w:val="18"/>
        </w:rPr>
        <w:t>.</w:t>
      </w:r>
    </w:p>
    <w:p w14:paraId="0CB14E48" w14:textId="77777777" w:rsidR="00CB0248" w:rsidRPr="00F20287" w:rsidRDefault="00CB0248" w:rsidP="00CB0248">
      <w:pPr>
        <w:spacing w:before="60" w:after="60"/>
      </w:pPr>
      <w:r w:rsidRPr="00CB0248">
        <w:rPr>
          <w:rFonts w:ascii="Titillium" w:hAnsi="Titillium" w:cs="Calibri"/>
          <w:sz w:val="18"/>
          <w:szCs w:val="18"/>
        </w:rPr>
        <w:t xml:space="preserve">La comprova del requisito è fornita mediante … </w:t>
      </w:r>
      <w:r w:rsidRPr="00CB0248">
        <w:rPr>
          <w:rFonts w:ascii="Titillium" w:hAnsi="Titillium" w:cs="Calibri"/>
          <w:i/>
          <w:sz w:val="18"/>
          <w:szCs w:val="18"/>
        </w:rPr>
        <w:t>[la stazione appaltante specifica i documenti richiesti]</w:t>
      </w:r>
      <w:r w:rsidRPr="00CB0248">
        <w:rPr>
          <w:rFonts w:ascii="Titillium" w:hAnsi="Titillium" w:cs="Calibri"/>
          <w:sz w:val="18"/>
          <w:szCs w:val="18"/>
        </w:rPr>
        <w:t>;</w:t>
      </w:r>
    </w:p>
    <w:p w14:paraId="34C04A0A" w14:textId="71C938A8"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[Facoltativo] </w:t>
      </w:r>
      <w:r>
        <w:rPr>
          <w:rFonts w:ascii="Titillium" w:hAnsi="Titillium" w:cs="Arial"/>
          <w:sz w:val="18"/>
          <w:szCs w:val="18"/>
        </w:rPr>
        <w:t>Possesso</w:t>
      </w:r>
      <w:r>
        <w:rPr>
          <w:rFonts w:ascii="Titillium" w:hAnsi="Titillium" w:cs="Arial"/>
          <w:b/>
          <w:sz w:val="18"/>
          <w:szCs w:val="18"/>
        </w:rPr>
        <w:t xml:space="preserve"> </w:t>
      </w:r>
      <w:r>
        <w:rPr>
          <w:rFonts w:ascii="Titillium" w:hAnsi="Titillium" w:cs="Arial"/>
          <w:sz w:val="18"/>
          <w:szCs w:val="18"/>
        </w:rPr>
        <w:t xml:space="preserve">dei </w:t>
      </w:r>
      <w:r w:rsidRPr="009133D6">
        <w:rPr>
          <w:rFonts w:ascii="Titillium" w:hAnsi="Titillium" w:cs="Arial"/>
          <w:sz w:val="18"/>
          <w:szCs w:val="18"/>
        </w:rPr>
        <w:t>seguenti titoli di studio e/o professionali</w:t>
      </w:r>
      <w:r>
        <w:rPr>
          <w:rFonts w:ascii="Titillium" w:hAnsi="Titillium" w:cs="Arial"/>
          <w:b/>
          <w:sz w:val="18"/>
          <w:szCs w:val="18"/>
        </w:rPr>
        <w:t xml:space="preserve"> </w:t>
      </w:r>
      <w:r>
        <w:rPr>
          <w:rFonts w:ascii="Titillium" w:hAnsi="Titillium" w:cs="Arial"/>
          <w:sz w:val="18"/>
          <w:szCs w:val="18"/>
        </w:rPr>
        <w:t xml:space="preserve">da parte del prestatore di servizio/imprenditore e/o dei componenti della struttura tecnico - operativa /gruppi di lavoro (ivi inclusi i dirigenti dell’azienda) … </w:t>
      </w:r>
      <w:r>
        <w:rPr>
          <w:rFonts w:ascii="Titillium" w:hAnsi="Titillium" w:cs="Arial"/>
          <w:i/>
          <w:sz w:val="18"/>
          <w:szCs w:val="18"/>
        </w:rPr>
        <w:t>[indicare con precisione i titoli di studio tenendo conto di assicurare l’equipollenza di quelli esteri anche in ossequio al princ</w:t>
      </w:r>
      <w:bookmarkStart w:id="1471" w:name="_Ref495411385"/>
      <w:bookmarkEnd w:id="1471"/>
      <w:r>
        <w:rPr>
          <w:rFonts w:ascii="Titillium" w:hAnsi="Titillium" w:cs="Arial"/>
          <w:i/>
          <w:sz w:val="18"/>
          <w:szCs w:val="18"/>
        </w:rPr>
        <w:t>ipio di reciprocità]</w:t>
      </w:r>
    </w:p>
    <w:p w14:paraId="20B2FE41" w14:textId="7A8FCD33" w:rsidR="00F20287" w:rsidRDefault="00F20287" w:rsidP="00F20287">
      <w:pPr>
        <w:spacing w:before="60" w:after="60"/>
      </w:pPr>
      <w:r w:rsidRPr="00F20287">
        <w:rPr>
          <w:rFonts w:ascii="Titillium" w:hAnsi="Titillium" w:cs="Calibri"/>
          <w:sz w:val="18"/>
          <w:szCs w:val="18"/>
        </w:rPr>
        <w:t xml:space="preserve">La comprova del requisito è fornita mediante … </w:t>
      </w:r>
      <w:r w:rsidRPr="00F20287">
        <w:rPr>
          <w:rFonts w:ascii="Titillium" w:hAnsi="Titillium" w:cs="Calibri"/>
          <w:i/>
          <w:sz w:val="18"/>
          <w:szCs w:val="18"/>
        </w:rPr>
        <w:t>[la stazione appaltante specifica i dati o i documenti richiesti]</w:t>
      </w:r>
      <w:r w:rsidRPr="00F20287">
        <w:rPr>
          <w:rFonts w:ascii="Titillium" w:hAnsi="Titillium" w:cs="Calibri"/>
          <w:sz w:val="18"/>
          <w:szCs w:val="18"/>
        </w:rPr>
        <w:t>.</w:t>
      </w:r>
    </w:p>
    <w:p w14:paraId="488B569C"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w:t>
      </w:r>
      <w:r w:rsidRPr="009133D6">
        <w:rPr>
          <w:rFonts w:ascii="Titillium" w:hAnsi="Titillium" w:cs="Arial"/>
          <w:sz w:val="18"/>
          <w:szCs w:val="18"/>
        </w:rPr>
        <w:t>Organico medio annuo non inferiore</w:t>
      </w:r>
      <w:r>
        <w:rPr>
          <w:rFonts w:ascii="Titillium" w:hAnsi="Titillium" w:cs="Arial"/>
          <w:sz w:val="18"/>
          <w:szCs w:val="18"/>
        </w:rPr>
        <w:t xml:space="preserve"> alle seguenti unità di personale … </w:t>
      </w:r>
      <w:r>
        <w:rPr>
          <w:rFonts w:ascii="Titillium" w:hAnsi="Titillium" w:cs="Arial"/>
          <w:i/>
          <w:sz w:val="18"/>
          <w:szCs w:val="18"/>
        </w:rPr>
        <w:t xml:space="preserve">[descrivere la categoria di riferimento (tipologia, grado di specializzazione, livello etc.) indicando il numero richiesto per ognuna] </w:t>
      </w:r>
      <w:r>
        <w:rPr>
          <w:rFonts w:ascii="Titillium" w:hAnsi="Titillium" w:cs="Arial"/>
          <w:sz w:val="18"/>
          <w:szCs w:val="18"/>
        </w:rPr>
        <w:t xml:space="preserve">nonché alle seguenti </w:t>
      </w:r>
      <w:r w:rsidRPr="00032F35">
        <w:rPr>
          <w:rFonts w:ascii="Titillium" w:hAnsi="Titillium" w:cs="Arial"/>
          <w:sz w:val="18"/>
          <w:szCs w:val="18"/>
        </w:rPr>
        <w:t>unità di dirigenti</w:t>
      </w:r>
      <w:r>
        <w:rPr>
          <w:rFonts w:ascii="Titillium" w:hAnsi="Titillium" w:cs="Arial"/>
          <w:i/>
          <w:sz w:val="18"/>
          <w:szCs w:val="18"/>
        </w:rPr>
        <w:t xml:space="preserve"> … [indicazione esatta del numero] </w:t>
      </w:r>
      <w:r>
        <w:rPr>
          <w:rFonts w:ascii="Titillium" w:hAnsi="Titillium" w:cs="Arial"/>
          <w:sz w:val="18"/>
          <w:szCs w:val="18"/>
        </w:rPr>
        <w:t>avuto a disposizione dall’operatore nell’ultimo triennio.</w:t>
      </w:r>
    </w:p>
    <w:p w14:paraId="5473FAA7" w14:textId="653DA48C" w:rsidR="004C53A8" w:rsidRDefault="00870286">
      <w:pPr>
        <w:spacing w:before="60" w:after="60"/>
        <w:rPr>
          <w:rFonts w:ascii="Titillium" w:hAnsi="Titillium" w:cs="Arial"/>
          <w:i/>
          <w:sz w:val="18"/>
          <w:szCs w:val="18"/>
        </w:rPr>
      </w:pPr>
      <w:r w:rsidRPr="00F20287">
        <w:rPr>
          <w:rFonts w:ascii="Titillium" w:hAnsi="Titillium" w:cs="Calibri"/>
          <w:sz w:val="18"/>
          <w:szCs w:val="18"/>
        </w:rPr>
        <w:t xml:space="preserve">La comprova del requisito è fornita mediante … </w:t>
      </w:r>
      <w:r w:rsidRPr="00F20287">
        <w:rPr>
          <w:rFonts w:ascii="Titillium" w:hAnsi="Titillium" w:cs="Calibri"/>
          <w:i/>
          <w:sz w:val="18"/>
          <w:szCs w:val="18"/>
        </w:rPr>
        <w:t>[la stazione appaltante specifica i documenti richiesti]</w:t>
      </w:r>
      <w:r w:rsidR="00CB0248">
        <w:rPr>
          <w:rFonts w:ascii="Titillium" w:hAnsi="Titillium" w:cs="Calibri"/>
          <w:sz w:val="18"/>
          <w:szCs w:val="18"/>
        </w:rPr>
        <w:t>.</w:t>
      </w:r>
    </w:p>
    <w:p w14:paraId="72DAAECA" w14:textId="61F26FDE" w:rsidR="004C53A8" w:rsidRPr="00F20287" w:rsidRDefault="00870286" w:rsidP="00601972">
      <w:pPr>
        <w:pStyle w:val="Paragrafoelenco"/>
        <w:numPr>
          <w:ilvl w:val="0"/>
          <w:numId w:val="31"/>
        </w:numPr>
        <w:spacing w:before="60" w:after="60"/>
        <w:ind w:left="284" w:hanging="284"/>
        <w:rPr>
          <w:rFonts w:ascii="Titillium" w:hAnsi="Titillium" w:cs="Calibri"/>
          <w:sz w:val="18"/>
          <w:szCs w:val="18"/>
        </w:rPr>
      </w:pPr>
      <w:r>
        <w:rPr>
          <w:rFonts w:ascii="Titillium" w:hAnsi="Titillium" w:cs="Arial"/>
          <w:b/>
          <w:i/>
          <w:sz w:val="18"/>
          <w:szCs w:val="18"/>
        </w:rPr>
        <w:t xml:space="preserve"> [Facoltativo] </w:t>
      </w:r>
      <w:r w:rsidRPr="009133D6">
        <w:rPr>
          <w:rFonts w:ascii="Titillium" w:hAnsi="Titillium" w:cs="Arial"/>
          <w:sz w:val="18"/>
          <w:szCs w:val="18"/>
        </w:rPr>
        <w:t>Elenco delle attrezzature tecniche, del materiale e dell’equipaggiamento</w:t>
      </w:r>
      <w:r>
        <w:rPr>
          <w:rFonts w:ascii="Titillium" w:hAnsi="Titillium" w:cs="Arial"/>
          <w:b/>
          <w:sz w:val="18"/>
          <w:szCs w:val="18"/>
        </w:rPr>
        <w:t xml:space="preserve"> </w:t>
      </w:r>
      <w:r>
        <w:rPr>
          <w:rFonts w:ascii="Titillium" w:hAnsi="Titillium" w:cs="Arial"/>
          <w:sz w:val="18"/>
          <w:szCs w:val="18"/>
        </w:rPr>
        <w:t>secondo le caratteristiche minime di seguito indicate</w:t>
      </w:r>
      <w:r>
        <w:rPr>
          <w:rFonts w:ascii="Titillium" w:hAnsi="Titillium" w:cs="Arial"/>
          <w:b/>
          <w:sz w:val="18"/>
          <w:szCs w:val="18"/>
        </w:rPr>
        <w:t xml:space="preserve"> </w:t>
      </w:r>
      <w:r>
        <w:rPr>
          <w:rFonts w:ascii="Titillium" w:hAnsi="Titillium" w:cs="Arial"/>
          <w:sz w:val="18"/>
          <w:szCs w:val="18"/>
        </w:rPr>
        <w:t>...</w:t>
      </w:r>
      <w:r>
        <w:rPr>
          <w:rFonts w:ascii="Titillium" w:hAnsi="Titillium" w:cs="Arial"/>
          <w:i/>
          <w:sz w:val="18"/>
          <w:szCs w:val="18"/>
        </w:rPr>
        <w:t xml:space="preserve"> [descrivere le caratteristiche richieste]</w:t>
      </w:r>
      <w:r w:rsidRPr="00F20287">
        <w:rPr>
          <w:rFonts w:ascii="Titillium" w:hAnsi="Titillium" w:cs="Calibri"/>
          <w:sz w:val="18"/>
          <w:szCs w:val="18"/>
        </w:rPr>
        <w:t>.</w:t>
      </w:r>
    </w:p>
    <w:p w14:paraId="0E6AFA44" w14:textId="6ACEF94D" w:rsidR="00032F35" w:rsidRDefault="00032F35" w:rsidP="00032F35">
      <w:pPr>
        <w:spacing w:before="60" w:after="60"/>
      </w:pPr>
      <w:r w:rsidRPr="00F20287">
        <w:rPr>
          <w:rFonts w:ascii="Titillium" w:hAnsi="Titillium" w:cs="Calibri"/>
          <w:sz w:val="18"/>
          <w:szCs w:val="18"/>
        </w:rPr>
        <w:t>La comprova del requisito è fornita mediante il registro dei beni ammortizzabili; contratti di locazione finanziaria e/o noleggio</w:t>
      </w:r>
      <w:r>
        <w:rPr>
          <w:rFonts w:ascii="Titillium" w:hAnsi="Titillium" w:cs="Calibri"/>
          <w:sz w:val="18"/>
          <w:szCs w:val="18"/>
        </w:rPr>
        <w:t xml:space="preserve"> e relative fatture; registro IVA </w:t>
      </w:r>
      <w:r>
        <w:rPr>
          <w:rFonts w:ascii="Titillium" w:hAnsi="Titillium" w:cs="Calibri"/>
          <w:i/>
          <w:sz w:val="18"/>
          <w:szCs w:val="18"/>
        </w:rPr>
        <w:t>[la stazione appaltante specifica i documenti richiesti]</w:t>
      </w:r>
      <w:r w:rsidR="00A40E05">
        <w:rPr>
          <w:rFonts w:ascii="Titillium" w:hAnsi="Titillium" w:cs="Calibri"/>
          <w:i/>
          <w:sz w:val="18"/>
          <w:szCs w:val="18"/>
        </w:rPr>
        <w:t xml:space="preserve"> </w:t>
      </w:r>
      <w:r w:rsidR="00A40E05" w:rsidRPr="00A40E05">
        <w:rPr>
          <w:rFonts w:ascii="Titillium" w:hAnsi="Titillium" w:cs="Arial"/>
          <w:sz w:val="18"/>
          <w:szCs w:val="18"/>
        </w:rPr>
        <w:t>oppure</w:t>
      </w:r>
      <w:r w:rsidR="00A40E05" w:rsidRPr="00A40E05">
        <w:rPr>
          <w:rFonts w:ascii="Titillium" w:hAnsi="Titillium" w:cs="Calibri"/>
          <w:sz w:val="18"/>
          <w:szCs w:val="18"/>
        </w:rPr>
        <w:t xml:space="preserve"> </w:t>
      </w:r>
      <w:r w:rsidR="00A40E05">
        <w:rPr>
          <w:rFonts w:ascii="Titillium" w:hAnsi="Titillium" w:cs="Calibri"/>
          <w:sz w:val="18"/>
          <w:szCs w:val="18"/>
        </w:rPr>
        <w:t>mediante impegno ad</w:t>
      </w:r>
      <w:r w:rsidR="00A40E05" w:rsidRPr="00F20287">
        <w:rPr>
          <w:rFonts w:ascii="Titillium" w:hAnsi="Titillium" w:cs="Calibri"/>
          <w:sz w:val="18"/>
          <w:szCs w:val="18"/>
        </w:rPr>
        <w:t xml:space="preserve"> adeguare</w:t>
      </w:r>
      <w:r w:rsidR="00A40E05">
        <w:rPr>
          <w:rFonts w:ascii="Titillium" w:hAnsi="Titillium" w:cs="Calibri"/>
          <w:sz w:val="18"/>
          <w:szCs w:val="18"/>
        </w:rPr>
        <w:t>, entro la data di sottoscrizione del contratto,</w:t>
      </w:r>
      <w:r w:rsidR="00A40E05" w:rsidRPr="00F20287">
        <w:rPr>
          <w:rFonts w:ascii="Titillium" w:hAnsi="Titillium" w:cs="Calibri"/>
          <w:sz w:val="18"/>
          <w:szCs w:val="18"/>
        </w:rPr>
        <w:t xml:space="preserve"> la propria dotazione tec</w:t>
      </w:r>
      <w:r w:rsidR="00A40E05">
        <w:rPr>
          <w:rFonts w:ascii="Titillium" w:hAnsi="Titillium" w:cs="Calibri"/>
          <w:sz w:val="18"/>
          <w:szCs w:val="18"/>
        </w:rPr>
        <w:t xml:space="preserve">nica </w:t>
      </w:r>
      <w:r w:rsidR="00A40E05" w:rsidRPr="00F20287">
        <w:rPr>
          <w:rFonts w:ascii="Titillium" w:hAnsi="Titillium" w:cs="Calibri"/>
          <w:sz w:val="18"/>
          <w:szCs w:val="18"/>
        </w:rPr>
        <w:t>a quanto richiesto dal presente disciplinare di gara</w:t>
      </w:r>
      <w:r>
        <w:rPr>
          <w:rFonts w:ascii="Titillium" w:hAnsi="Titillium" w:cs="Calibri"/>
          <w:sz w:val="18"/>
          <w:szCs w:val="18"/>
        </w:rPr>
        <w:t>.</w:t>
      </w:r>
    </w:p>
    <w:p w14:paraId="3A824A9B" w14:textId="77777777" w:rsidR="004C53A8" w:rsidRDefault="00870286" w:rsidP="00601972">
      <w:pPr>
        <w:pStyle w:val="Paragrafoelenco"/>
        <w:numPr>
          <w:ilvl w:val="0"/>
          <w:numId w:val="31"/>
        </w:numPr>
        <w:spacing w:before="60" w:after="60"/>
        <w:ind w:left="284" w:hanging="284"/>
      </w:pPr>
      <w:bookmarkStart w:id="1472" w:name="_Ref496707549"/>
      <w:r>
        <w:rPr>
          <w:rFonts w:ascii="Titillium" w:hAnsi="Titillium" w:cs="Arial"/>
          <w:b/>
          <w:i/>
          <w:sz w:val="18"/>
          <w:szCs w:val="18"/>
        </w:rPr>
        <w:t xml:space="preserve">[Facoltativo per gli appalti di forniture] </w:t>
      </w:r>
      <w:r>
        <w:rPr>
          <w:rFonts w:ascii="Titillium" w:hAnsi="Titillium" w:cs="Calibri"/>
          <w:b/>
          <w:sz w:val="18"/>
          <w:szCs w:val="18"/>
        </w:rPr>
        <w:t>Presentazione di campioni</w:t>
      </w:r>
      <w:bookmarkEnd w:id="1472"/>
    </w:p>
    <w:p w14:paraId="3374F4A6" w14:textId="7FCB31E4" w:rsidR="004C53A8" w:rsidRDefault="00870286" w:rsidP="00032F35">
      <w:pPr>
        <w:spacing w:before="60" w:after="60"/>
      </w:pPr>
      <w:r>
        <w:rPr>
          <w:rFonts w:ascii="Titillium" w:hAnsi="Titillium"/>
          <w:sz w:val="18"/>
          <w:szCs w:val="18"/>
        </w:rPr>
        <w:t xml:space="preserve">Il concorrente deve </w:t>
      </w:r>
      <w:r w:rsidR="00B42CE8">
        <w:rPr>
          <w:rFonts w:ascii="Titillium" w:hAnsi="Titillium"/>
          <w:sz w:val="18"/>
          <w:szCs w:val="18"/>
        </w:rPr>
        <w:t>inviare</w:t>
      </w:r>
      <w:r>
        <w:rPr>
          <w:rFonts w:ascii="Titillium" w:hAnsi="Titillium"/>
          <w:sz w:val="18"/>
          <w:szCs w:val="18"/>
        </w:rPr>
        <w:t xml:space="preserve"> alla stazione appaltante al seguente indirizzo </w:t>
      </w:r>
      <w:r w:rsidR="00F26ABD">
        <w:rPr>
          <w:rFonts w:ascii="Titillium" w:hAnsi="Titillium"/>
          <w:sz w:val="18"/>
          <w:szCs w:val="18"/>
        </w:rPr>
        <w:t xml:space="preserve">… </w:t>
      </w:r>
      <w:r>
        <w:rPr>
          <w:rFonts w:ascii="Titillium" w:hAnsi="Titillium"/>
          <w:i/>
          <w:iCs/>
          <w:sz w:val="18"/>
          <w:szCs w:val="18"/>
        </w:rPr>
        <w:t>[indicare]</w:t>
      </w:r>
      <w:r w:rsidR="00FA38AC">
        <w:rPr>
          <w:rFonts w:ascii="Titillium" w:hAnsi="Titillium"/>
          <w:sz w:val="18"/>
          <w:szCs w:val="18"/>
        </w:rPr>
        <w:t xml:space="preserve"> </w:t>
      </w:r>
      <w:r>
        <w:rPr>
          <w:rFonts w:ascii="Titillium" w:hAnsi="Titillium"/>
          <w:sz w:val="18"/>
          <w:szCs w:val="18"/>
        </w:rPr>
        <w:t xml:space="preserve">i campioni come descritti </w:t>
      </w:r>
      <w:r w:rsidR="00F26ABD" w:rsidRPr="00A40E05">
        <w:rPr>
          <w:rFonts w:ascii="Titillium" w:hAnsi="Titillium"/>
          <w:i/>
          <w:sz w:val="18"/>
          <w:szCs w:val="18"/>
        </w:rPr>
        <w:t>… [indicare dove sono descritte le caratteristiche che il campione deve avere]</w:t>
      </w:r>
      <w:r w:rsidRPr="00A40E05">
        <w:rPr>
          <w:rFonts w:ascii="Titillium" w:hAnsi="Titillium"/>
          <w:i/>
          <w:sz w:val="18"/>
          <w:szCs w:val="18"/>
        </w:rPr>
        <w:t>,</w:t>
      </w:r>
      <w:r>
        <w:rPr>
          <w:rFonts w:ascii="Titillium" w:hAnsi="Titillium"/>
          <w:sz w:val="18"/>
          <w:szCs w:val="18"/>
        </w:rPr>
        <w:t xml:space="preserve"> corredati dalla documentazione </w:t>
      </w:r>
      <w:r w:rsidR="00FA38AC">
        <w:rPr>
          <w:rFonts w:ascii="Titillium" w:hAnsi="Titillium"/>
          <w:sz w:val="18"/>
          <w:szCs w:val="18"/>
        </w:rPr>
        <w:t xml:space="preserve">ivi </w:t>
      </w:r>
      <w:r>
        <w:rPr>
          <w:rFonts w:ascii="Titillium" w:hAnsi="Titillium"/>
          <w:sz w:val="18"/>
          <w:szCs w:val="18"/>
        </w:rPr>
        <w:t>richiesta.</w:t>
      </w:r>
    </w:p>
    <w:p w14:paraId="5D3D98E5" w14:textId="3F82EF8F" w:rsidR="004C53A8" w:rsidRDefault="00870286" w:rsidP="00601972">
      <w:pPr>
        <w:pStyle w:val="Paragrafoelenco"/>
        <w:numPr>
          <w:ilvl w:val="0"/>
          <w:numId w:val="31"/>
        </w:numPr>
        <w:spacing w:before="60" w:after="60"/>
        <w:ind w:left="284" w:hanging="284"/>
      </w:pPr>
      <w:bookmarkStart w:id="1473" w:name="_Ref497922942"/>
      <w:r>
        <w:rPr>
          <w:rFonts w:ascii="Titillium" w:hAnsi="Titillium" w:cs="Arial"/>
          <w:b/>
          <w:i/>
          <w:sz w:val="18"/>
          <w:szCs w:val="18"/>
        </w:rPr>
        <w:t xml:space="preserve">[Facoltativo: in caso di valutazione di conformità del prodotto/servizio] </w:t>
      </w:r>
      <w:r>
        <w:rPr>
          <w:rFonts w:ascii="Titillium" w:hAnsi="Titillium" w:cs="Arial"/>
          <w:b/>
          <w:sz w:val="18"/>
          <w:szCs w:val="18"/>
        </w:rPr>
        <w:t>Possesso</w:t>
      </w:r>
      <w:r>
        <w:rPr>
          <w:rFonts w:ascii="Titillium" w:hAnsi="Titillium" w:cs="Arial"/>
          <w:sz w:val="18"/>
          <w:szCs w:val="18"/>
        </w:rPr>
        <w:t xml:space="preserve"> di una </w:t>
      </w:r>
      <w:r>
        <w:rPr>
          <w:rFonts w:ascii="Titillium" w:hAnsi="Titillium" w:cs="Arial"/>
          <w:b/>
          <w:sz w:val="18"/>
          <w:szCs w:val="18"/>
        </w:rPr>
        <w:t>valutazione di conformità</w:t>
      </w:r>
      <w:r>
        <w:rPr>
          <w:rFonts w:ascii="Titillium" w:hAnsi="Titillium" w:cs="Arial"/>
          <w:sz w:val="18"/>
          <w:szCs w:val="18"/>
        </w:rPr>
        <w:t xml:space="preserve"> del </w:t>
      </w:r>
      <w:r>
        <w:rPr>
          <w:rFonts w:ascii="Titillium" w:hAnsi="Titillium" w:cs="Arial"/>
          <w:b/>
          <w:sz w:val="18"/>
          <w:szCs w:val="18"/>
        </w:rPr>
        <w:t>prodotto/servizio</w:t>
      </w:r>
      <w:r>
        <w:rPr>
          <w:rFonts w:ascii="Titillium" w:hAnsi="Titillium" w:cs="Arial"/>
          <w:sz w:val="18"/>
          <w:szCs w:val="18"/>
        </w:rPr>
        <w:t xml:space="preserve"> … </w:t>
      </w:r>
      <w:r>
        <w:rPr>
          <w:rFonts w:ascii="Titillium" w:hAnsi="Titillium" w:cs="Arial"/>
          <w:i/>
          <w:sz w:val="18"/>
          <w:szCs w:val="18"/>
        </w:rPr>
        <w:t>[specificare la tipologia]</w:t>
      </w:r>
      <w:r>
        <w:rPr>
          <w:rFonts w:ascii="Titillium" w:hAnsi="Titillium" w:cs="Arial"/>
          <w:sz w:val="18"/>
          <w:szCs w:val="18"/>
        </w:rPr>
        <w:t xml:space="preserve"> alla/e norma/e … </w:t>
      </w:r>
      <w:r>
        <w:rPr>
          <w:rFonts w:ascii="Titillium" w:hAnsi="Titillium" w:cs="Arial"/>
          <w:i/>
          <w:sz w:val="18"/>
          <w:szCs w:val="18"/>
        </w:rPr>
        <w:t xml:space="preserve">[indicare le norme/standard internazionali di riferimento] </w:t>
      </w:r>
      <w:r>
        <w:rPr>
          <w:rFonts w:ascii="Titillium" w:hAnsi="Titillium" w:cs="Arial"/>
          <w:sz w:val="18"/>
          <w:szCs w:val="18"/>
        </w:rPr>
        <w:t>nel settore … [</w:t>
      </w:r>
      <w:r>
        <w:rPr>
          <w:rFonts w:ascii="Titillium" w:hAnsi="Titillium" w:cs="Calibri"/>
          <w:i/>
          <w:sz w:val="18"/>
          <w:szCs w:val="18"/>
        </w:rPr>
        <w:t>IAF o altra classificazione applicabile</w:t>
      </w:r>
      <w:r>
        <w:rPr>
          <w:rFonts w:ascii="Titillium" w:hAnsi="Titillium" w:cs="Arial"/>
          <w:sz w:val="18"/>
          <w:szCs w:val="18"/>
        </w:rPr>
        <w:t xml:space="preserve">], idonea, pertinente e proporzionata al seguente ambito di attività </w:t>
      </w:r>
      <w:r>
        <w:rPr>
          <w:rFonts w:ascii="Titillium" w:hAnsi="Titillium" w:cs="Arial"/>
          <w:i/>
          <w:sz w:val="18"/>
          <w:szCs w:val="18"/>
        </w:rPr>
        <w:t>…</w:t>
      </w:r>
      <w:r w:rsidR="00A40E05">
        <w:rPr>
          <w:rFonts w:ascii="Titillium" w:hAnsi="Titillium" w:cs="Arial"/>
          <w:i/>
          <w:sz w:val="18"/>
          <w:szCs w:val="18"/>
        </w:rPr>
        <w:t xml:space="preserve"> </w:t>
      </w:r>
      <w:r>
        <w:rPr>
          <w:rFonts w:ascii="Titillium" w:hAnsi="Titillium" w:cs="Arial"/>
          <w:i/>
          <w:sz w:val="18"/>
          <w:szCs w:val="18"/>
        </w:rPr>
        <w:t xml:space="preserve"> [indicare il campo di applicazione/scopo del certificato].</w:t>
      </w:r>
      <w:bookmarkEnd w:id="1473"/>
    </w:p>
    <w:p w14:paraId="50FA2472" w14:textId="77777777" w:rsidR="00B42CE8" w:rsidRPr="00B42CE8" w:rsidRDefault="00B42CE8">
      <w:pPr>
        <w:pStyle w:val="Paragrafoelenco"/>
        <w:spacing w:before="60" w:after="60"/>
        <w:ind w:left="0"/>
        <w:rPr>
          <w:rFonts w:ascii="Titillium" w:hAnsi="Titillium" w:cs="Calibri"/>
          <w:sz w:val="18"/>
          <w:szCs w:val="18"/>
        </w:rPr>
      </w:pPr>
      <w:r w:rsidRPr="00B42CE8">
        <w:rPr>
          <w:rFonts w:ascii="Titillium" w:hAnsi="Titillium" w:cs="Calibri"/>
          <w:sz w:val="18"/>
          <w:szCs w:val="18"/>
        </w:rPr>
        <w:t xml:space="preserve">La comprova del requisito è fornita mediante un certificato di conformità del sistema di gestione ambientale rilasciato da un organismo di certificazione accreditato in Italia o che opera in virtù degli accordi di mutuo riconoscimento EA/MLA o IAF/MLA. </w:t>
      </w:r>
    </w:p>
    <w:p w14:paraId="1509BA58" w14:textId="79C00BE2" w:rsidR="004C53A8" w:rsidRDefault="00CD1899" w:rsidP="00CD1899">
      <w:pPr>
        <w:pStyle w:val="Paragrafoelenco"/>
        <w:spacing w:before="60" w:after="60"/>
        <w:ind w:left="0"/>
        <w:rPr>
          <w:rFonts w:ascii="Titillium" w:hAnsi="Titillium" w:cs="Calibri"/>
          <w:sz w:val="18"/>
          <w:szCs w:val="18"/>
        </w:rPr>
      </w:pPr>
      <w:r>
        <w:rPr>
          <w:rFonts w:ascii="Titillium" w:hAnsi="Titillium" w:cs="Calibri"/>
          <w:sz w:val="18"/>
          <w:szCs w:val="18"/>
        </w:rPr>
        <w:t xml:space="preserve">Nel caso in cui l’operatore economico non ha la possibilità di ottenere la predetta documentazione entro il termine richiesto, per causa a sé non imputabile, sono ammessi anche altri mezzi di comprova del requisito idonei a dimostrare che il prodotto/servizio offerto soddisfi </w:t>
      </w:r>
      <w:r w:rsidR="00870286">
        <w:rPr>
          <w:rFonts w:ascii="Titillium" w:hAnsi="Titillium" w:cs="Calibri"/>
          <w:sz w:val="18"/>
          <w:szCs w:val="18"/>
        </w:rPr>
        <w:t>gli standard sopra indicati.</w:t>
      </w:r>
    </w:p>
    <w:p w14:paraId="465CEEDE" w14:textId="7F6DC3F7" w:rsidR="004C53A8" w:rsidRDefault="00870286" w:rsidP="00601972">
      <w:pPr>
        <w:pStyle w:val="Paragrafoelenco"/>
        <w:numPr>
          <w:ilvl w:val="0"/>
          <w:numId w:val="31"/>
        </w:numPr>
        <w:spacing w:before="60" w:after="60"/>
        <w:ind w:left="284" w:hanging="284"/>
      </w:pPr>
      <w:r>
        <w:rPr>
          <w:rFonts w:ascii="Titillium" w:hAnsi="Titillium" w:cs="Calibri"/>
          <w:b/>
          <w:sz w:val="18"/>
          <w:szCs w:val="18"/>
        </w:rPr>
        <w:t>[</w:t>
      </w:r>
      <w:r>
        <w:rPr>
          <w:rFonts w:ascii="Titillium" w:hAnsi="Titillium" w:cs="Calibri"/>
          <w:b/>
          <w:i/>
          <w:sz w:val="18"/>
          <w:szCs w:val="18"/>
        </w:rPr>
        <w:t>Facoltativo: in caso di vigenza del decreto ministeriale che prevede CAM per la fase di qualificazione alla gara</w:t>
      </w:r>
      <w:r>
        <w:rPr>
          <w:rFonts w:ascii="Titillium" w:hAnsi="Titillium" w:cs="Calibri"/>
          <w:b/>
          <w:sz w:val="18"/>
          <w:szCs w:val="18"/>
        </w:rPr>
        <w:t>]</w:t>
      </w:r>
      <w:r>
        <w:rPr>
          <w:rFonts w:ascii="Titillium" w:hAnsi="Titillium" w:cs="Calibri"/>
          <w:sz w:val="18"/>
          <w:szCs w:val="18"/>
        </w:rPr>
        <w:t xml:space="preserve"> [</w:t>
      </w:r>
      <w:r>
        <w:rPr>
          <w:rFonts w:ascii="Titillium" w:hAnsi="Titillium" w:cs="Calibri"/>
          <w:i/>
          <w:iCs/>
          <w:sz w:val="18"/>
          <w:szCs w:val="18"/>
        </w:rPr>
        <w:t>da completarsi a cura della stazione appaltante che individua requisiti di selezione dei candidati in conformità allo specifico</w:t>
      </w:r>
      <w:r>
        <w:rPr>
          <w:rFonts w:ascii="Titillium" w:hAnsi="Titillium" w:cs="Calibri"/>
          <w:bCs/>
          <w:i/>
          <w:iCs/>
          <w:sz w:val="18"/>
          <w:szCs w:val="18"/>
        </w:rPr>
        <w:t xml:space="preserve"> decreto ministeriale di riferimento emanato dal Ministero </w:t>
      </w:r>
      <w:r w:rsidR="00B30E15">
        <w:rPr>
          <w:rFonts w:ascii="Titillium" w:hAnsi="Titillium" w:cs="Calibri"/>
          <w:bCs/>
          <w:i/>
          <w:iCs/>
          <w:sz w:val="18"/>
          <w:szCs w:val="18"/>
        </w:rPr>
        <w:t>della trans</w:t>
      </w:r>
      <w:r w:rsidR="00E526B2">
        <w:rPr>
          <w:rFonts w:ascii="Titillium" w:hAnsi="Titillium" w:cs="Calibri"/>
          <w:bCs/>
          <w:i/>
          <w:iCs/>
          <w:sz w:val="18"/>
          <w:szCs w:val="18"/>
        </w:rPr>
        <w:t>i</w:t>
      </w:r>
      <w:r w:rsidR="00B30E15">
        <w:rPr>
          <w:rFonts w:ascii="Titillium" w:hAnsi="Titillium" w:cs="Calibri"/>
          <w:bCs/>
          <w:i/>
          <w:iCs/>
          <w:sz w:val="18"/>
          <w:szCs w:val="18"/>
        </w:rPr>
        <w:t>zione ecologica</w:t>
      </w:r>
      <w:r w:rsidR="00B42CE8">
        <w:rPr>
          <w:rFonts w:ascii="Titillium" w:hAnsi="Titillium" w:cs="Calibri"/>
          <w:bCs/>
          <w:iCs/>
          <w:sz w:val="18"/>
          <w:szCs w:val="18"/>
        </w:rPr>
        <w:t>].</w:t>
      </w:r>
    </w:p>
    <w:p w14:paraId="7644960F" w14:textId="77777777" w:rsidR="004C53A8" w:rsidRDefault="004C53A8">
      <w:pPr>
        <w:pStyle w:val="Paragrafoelenco"/>
        <w:spacing w:before="60" w:after="60"/>
        <w:ind w:left="284"/>
        <w:rPr>
          <w:rFonts w:ascii="Titillium" w:hAnsi="Titillium" w:cs="Calibri"/>
          <w:bCs/>
          <w:iCs/>
          <w:sz w:val="18"/>
          <w:szCs w:val="18"/>
        </w:rPr>
      </w:pPr>
    </w:p>
    <w:p w14:paraId="5170B310" w14:textId="704FF6E3" w:rsidR="004C53A8" w:rsidRDefault="004C667D">
      <w:pPr>
        <w:pStyle w:val="Titolo3"/>
        <w:numPr>
          <w:ilvl w:val="1"/>
          <w:numId w:val="4"/>
        </w:numPr>
        <w:ind w:left="426" w:hanging="426"/>
      </w:pPr>
      <w:bookmarkStart w:id="1474" w:name="_Toc497728149"/>
      <w:bookmarkStart w:id="1475" w:name="_Toc497484951"/>
      <w:bookmarkStart w:id="1476" w:name="_Toc485218285"/>
      <w:bookmarkStart w:id="1477" w:name="_Toc484688849"/>
      <w:bookmarkStart w:id="1478" w:name="_Toc484688294"/>
      <w:bookmarkStart w:id="1479" w:name="_Toc484605425"/>
      <w:bookmarkStart w:id="1480" w:name="_Toc484605301"/>
      <w:bookmarkStart w:id="1481" w:name="_Toc484526581"/>
      <w:bookmarkStart w:id="1482" w:name="_Toc484449086"/>
      <w:bookmarkStart w:id="1483" w:name="_Toc484448962"/>
      <w:bookmarkStart w:id="1484" w:name="_Toc484448838"/>
      <w:bookmarkStart w:id="1485" w:name="_Toc484448715"/>
      <w:bookmarkStart w:id="1486" w:name="_Toc484448591"/>
      <w:bookmarkStart w:id="1487" w:name="_Toc484448467"/>
      <w:bookmarkStart w:id="1488" w:name="_Toc484448343"/>
      <w:bookmarkStart w:id="1489" w:name="_Toc484448219"/>
      <w:bookmarkStart w:id="1490" w:name="_Toc484448094"/>
      <w:bookmarkStart w:id="1491" w:name="_Toc484440435"/>
      <w:bookmarkStart w:id="1492" w:name="_Toc484440075"/>
      <w:bookmarkStart w:id="1493" w:name="_Toc484439951"/>
      <w:bookmarkStart w:id="1494" w:name="_Toc484439828"/>
      <w:bookmarkStart w:id="1495" w:name="_Toc484438908"/>
      <w:bookmarkStart w:id="1496" w:name="_Toc484438784"/>
      <w:bookmarkStart w:id="1497" w:name="_Toc484438660"/>
      <w:bookmarkStart w:id="1498" w:name="_Toc484429085"/>
      <w:bookmarkStart w:id="1499" w:name="_Toc484428915"/>
      <w:bookmarkStart w:id="1500" w:name="_Toc484097743"/>
      <w:bookmarkStart w:id="1501" w:name="_Toc484011669"/>
      <w:bookmarkStart w:id="1502" w:name="_Toc484011194"/>
      <w:bookmarkStart w:id="1503" w:name="_Toc484011072"/>
      <w:bookmarkStart w:id="1504" w:name="_Toc484010950"/>
      <w:bookmarkStart w:id="1505" w:name="_Toc484010826"/>
      <w:bookmarkStart w:id="1506" w:name="_Toc484010704"/>
      <w:bookmarkStart w:id="1507" w:name="_Toc483906954"/>
      <w:bookmarkStart w:id="1508" w:name="_Toc483571577"/>
      <w:bookmarkStart w:id="1509" w:name="_Toc483571456"/>
      <w:bookmarkStart w:id="1510" w:name="_Toc483474027"/>
      <w:bookmarkStart w:id="1511" w:name="_Toc483401230"/>
      <w:bookmarkStart w:id="1512" w:name="_Toc483325751"/>
      <w:bookmarkStart w:id="1513" w:name="_Toc483316448"/>
      <w:bookmarkStart w:id="1514" w:name="_Toc483316317"/>
      <w:bookmarkStart w:id="1515" w:name="_Toc483316114"/>
      <w:bookmarkStart w:id="1516" w:name="_Toc483315909"/>
      <w:bookmarkStart w:id="1517" w:name="_Toc483302359"/>
      <w:bookmarkStart w:id="1518" w:name="_Toc485218284"/>
      <w:bookmarkStart w:id="1519" w:name="_Toc484688848"/>
      <w:bookmarkStart w:id="1520" w:name="_Toc484688293"/>
      <w:bookmarkStart w:id="1521" w:name="_Toc484605424"/>
      <w:bookmarkStart w:id="1522" w:name="_Toc484605300"/>
      <w:bookmarkStart w:id="1523" w:name="_Toc484526580"/>
      <w:bookmarkStart w:id="1524" w:name="_Toc484449085"/>
      <w:bookmarkStart w:id="1525" w:name="_Toc484448961"/>
      <w:bookmarkStart w:id="1526" w:name="_Toc484448837"/>
      <w:bookmarkStart w:id="1527" w:name="_Toc484448714"/>
      <w:bookmarkStart w:id="1528" w:name="_Toc484448590"/>
      <w:bookmarkStart w:id="1529" w:name="_Toc484448466"/>
      <w:bookmarkStart w:id="1530" w:name="_Toc484448342"/>
      <w:bookmarkStart w:id="1531" w:name="_Toc484448218"/>
      <w:bookmarkStart w:id="1532" w:name="_Toc484448093"/>
      <w:bookmarkStart w:id="1533" w:name="_Toc484440434"/>
      <w:bookmarkStart w:id="1534" w:name="_Toc484440074"/>
      <w:bookmarkStart w:id="1535" w:name="_Toc484439950"/>
      <w:bookmarkStart w:id="1536" w:name="_Toc484439827"/>
      <w:bookmarkStart w:id="1537" w:name="_Toc484438907"/>
      <w:bookmarkStart w:id="1538" w:name="_Toc484438783"/>
      <w:bookmarkStart w:id="1539" w:name="_Toc484438659"/>
      <w:bookmarkStart w:id="1540" w:name="_Toc484429084"/>
      <w:bookmarkStart w:id="1541" w:name="_Toc484428914"/>
      <w:bookmarkStart w:id="1542" w:name="_Toc484097742"/>
      <w:bookmarkStart w:id="1543" w:name="_Toc484011668"/>
      <w:bookmarkStart w:id="1544" w:name="_Toc484011193"/>
      <w:bookmarkStart w:id="1545" w:name="_Toc484011071"/>
      <w:bookmarkStart w:id="1546" w:name="_Toc484010949"/>
      <w:bookmarkStart w:id="1547" w:name="_Toc484010825"/>
      <w:bookmarkStart w:id="1548" w:name="_Toc484010703"/>
      <w:bookmarkStart w:id="1549" w:name="_Toc483906953"/>
      <w:bookmarkStart w:id="1550" w:name="_Toc483571576"/>
      <w:bookmarkStart w:id="1551" w:name="_Toc483571455"/>
      <w:bookmarkStart w:id="1552" w:name="_Toc483474026"/>
      <w:bookmarkStart w:id="1553" w:name="_Toc483401229"/>
      <w:bookmarkStart w:id="1554" w:name="_Toc483325750"/>
      <w:bookmarkStart w:id="1555" w:name="_Toc483316447"/>
      <w:bookmarkStart w:id="1556" w:name="_Toc483316316"/>
      <w:bookmarkStart w:id="1557" w:name="_Toc483316113"/>
      <w:bookmarkStart w:id="1558" w:name="_Toc483315908"/>
      <w:bookmarkStart w:id="1559" w:name="_Toc483302358"/>
      <w:bookmarkStart w:id="1560" w:name="_Toc485218283"/>
      <w:bookmarkStart w:id="1561" w:name="_Toc484688847"/>
      <w:bookmarkStart w:id="1562" w:name="_Toc484688292"/>
      <w:bookmarkStart w:id="1563" w:name="_Toc484605423"/>
      <w:bookmarkStart w:id="1564" w:name="_Toc484605299"/>
      <w:bookmarkStart w:id="1565" w:name="_Toc484526579"/>
      <w:bookmarkStart w:id="1566" w:name="_Toc484449084"/>
      <w:bookmarkStart w:id="1567" w:name="_Toc484448960"/>
      <w:bookmarkStart w:id="1568" w:name="_Toc484448836"/>
      <w:bookmarkStart w:id="1569" w:name="_Toc484448713"/>
      <w:bookmarkStart w:id="1570" w:name="_Toc484448589"/>
      <w:bookmarkStart w:id="1571" w:name="_Toc484448465"/>
      <w:bookmarkStart w:id="1572" w:name="_Toc484448341"/>
      <w:bookmarkStart w:id="1573" w:name="_Toc484448217"/>
      <w:bookmarkStart w:id="1574" w:name="_Toc484448092"/>
      <w:bookmarkStart w:id="1575" w:name="_Toc484440433"/>
      <w:bookmarkStart w:id="1576" w:name="_Toc484440073"/>
      <w:bookmarkStart w:id="1577" w:name="_Toc484439949"/>
      <w:bookmarkStart w:id="1578" w:name="_Toc484439826"/>
      <w:bookmarkStart w:id="1579" w:name="_Toc484438906"/>
      <w:bookmarkStart w:id="1580" w:name="_Toc484438782"/>
      <w:bookmarkStart w:id="1581" w:name="_Toc484438658"/>
      <w:bookmarkStart w:id="1582" w:name="_Toc484429083"/>
      <w:bookmarkStart w:id="1583" w:name="_Toc484428913"/>
      <w:bookmarkStart w:id="1584" w:name="_Toc484097741"/>
      <w:bookmarkStart w:id="1585" w:name="_Toc484011667"/>
      <w:bookmarkStart w:id="1586" w:name="_Toc484011192"/>
      <w:bookmarkStart w:id="1587" w:name="_Toc484011070"/>
      <w:bookmarkStart w:id="1588" w:name="_Toc484010948"/>
      <w:bookmarkStart w:id="1589" w:name="_Toc484010824"/>
      <w:bookmarkStart w:id="1590" w:name="_Toc484010702"/>
      <w:bookmarkStart w:id="1591" w:name="_Toc483906952"/>
      <w:bookmarkStart w:id="1592" w:name="_Toc483571575"/>
      <w:bookmarkStart w:id="1593" w:name="_Toc483571454"/>
      <w:bookmarkStart w:id="1594" w:name="_Toc483474025"/>
      <w:bookmarkStart w:id="1595" w:name="_Toc483401228"/>
      <w:bookmarkStart w:id="1596" w:name="_Toc483325749"/>
      <w:bookmarkStart w:id="1597" w:name="_Toc483316446"/>
      <w:bookmarkStart w:id="1598" w:name="_Toc483316315"/>
      <w:bookmarkStart w:id="1599" w:name="_Toc483316112"/>
      <w:bookmarkStart w:id="1600" w:name="_Toc483315907"/>
      <w:bookmarkStart w:id="1601" w:name="_Toc483302357"/>
      <w:bookmarkStart w:id="1602" w:name="_Toc485218282"/>
      <w:bookmarkStart w:id="1603" w:name="_Toc484688846"/>
      <w:bookmarkStart w:id="1604" w:name="_Toc484688291"/>
      <w:bookmarkStart w:id="1605" w:name="_Toc484605422"/>
      <w:bookmarkStart w:id="1606" w:name="_Toc484605298"/>
      <w:bookmarkStart w:id="1607" w:name="_Toc484526578"/>
      <w:bookmarkStart w:id="1608" w:name="_Toc484449083"/>
      <w:bookmarkStart w:id="1609" w:name="_Toc484448959"/>
      <w:bookmarkStart w:id="1610" w:name="_Toc484448835"/>
      <w:bookmarkStart w:id="1611" w:name="_Toc484448712"/>
      <w:bookmarkStart w:id="1612" w:name="_Toc484448588"/>
      <w:bookmarkStart w:id="1613" w:name="_Toc484448464"/>
      <w:bookmarkStart w:id="1614" w:name="_Toc484448340"/>
      <w:bookmarkStart w:id="1615" w:name="_Toc484448216"/>
      <w:bookmarkStart w:id="1616" w:name="_Toc484448091"/>
      <w:bookmarkStart w:id="1617" w:name="_Toc484440432"/>
      <w:bookmarkStart w:id="1618" w:name="_Toc484440072"/>
      <w:bookmarkStart w:id="1619" w:name="_Toc484439948"/>
      <w:bookmarkStart w:id="1620" w:name="_Toc484439825"/>
      <w:bookmarkStart w:id="1621" w:name="_Toc484438905"/>
      <w:bookmarkStart w:id="1622" w:name="_Toc484438781"/>
      <w:bookmarkStart w:id="1623" w:name="_Toc484438657"/>
      <w:bookmarkStart w:id="1624" w:name="_Toc484429082"/>
      <w:bookmarkStart w:id="1625" w:name="_Toc484428912"/>
      <w:bookmarkStart w:id="1626" w:name="_Toc484097740"/>
      <w:bookmarkStart w:id="1627" w:name="_Toc484011666"/>
      <w:bookmarkStart w:id="1628" w:name="_Toc484011191"/>
      <w:bookmarkStart w:id="1629" w:name="_Toc484011069"/>
      <w:bookmarkStart w:id="1630" w:name="_Toc484010947"/>
      <w:bookmarkStart w:id="1631" w:name="_Toc484010823"/>
      <w:bookmarkStart w:id="1632" w:name="_Toc484010701"/>
      <w:bookmarkStart w:id="1633" w:name="_Toc483906951"/>
      <w:bookmarkStart w:id="1634" w:name="_Toc483571574"/>
      <w:bookmarkStart w:id="1635" w:name="_Toc483571453"/>
      <w:bookmarkStart w:id="1636" w:name="_Toc483474024"/>
      <w:bookmarkStart w:id="1637" w:name="_Toc483401227"/>
      <w:bookmarkStart w:id="1638" w:name="_Toc483325748"/>
      <w:bookmarkStart w:id="1639" w:name="_Toc483316445"/>
      <w:bookmarkStart w:id="1640" w:name="_Toc483316314"/>
      <w:bookmarkStart w:id="1641" w:name="_Toc483316111"/>
      <w:bookmarkStart w:id="1642" w:name="_Toc483315906"/>
      <w:bookmarkStart w:id="1643" w:name="_Toc483302356"/>
      <w:bookmarkStart w:id="1644" w:name="_Toc485218281"/>
      <w:bookmarkStart w:id="1645" w:name="_Toc484688845"/>
      <w:bookmarkStart w:id="1646" w:name="_Toc484688290"/>
      <w:bookmarkStart w:id="1647" w:name="_Toc484605421"/>
      <w:bookmarkStart w:id="1648" w:name="_Toc484605297"/>
      <w:bookmarkStart w:id="1649" w:name="_Toc484526577"/>
      <w:bookmarkStart w:id="1650" w:name="_Toc484449082"/>
      <w:bookmarkStart w:id="1651" w:name="_Toc484448958"/>
      <w:bookmarkStart w:id="1652" w:name="_Toc484448834"/>
      <w:bookmarkStart w:id="1653" w:name="_Toc484448711"/>
      <w:bookmarkStart w:id="1654" w:name="_Toc484448587"/>
      <w:bookmarkStart w:id="1655" w:name="_Toc484448463"/>
      <w:bookmarkStart w:id="1656" w:name="_Toc484448339"/>
      <w:bookmarkStart w:id="1657" w:name="_Toc484448215"/>
      <w:bookmarkStart w:id="1658" w:name="_Toc484448090"/>
      <w:bookmarkStart w:id="1659" w:name="_Toc484440431"/>
      <w:bookmarkStart w:id="1660" w:name="_Toc484440071"/>
      <w:bookmarkStart w:id="1661" w:name="_Toc484439947"/>
      <w:bookmarkStart w:id="1662" w:name="_Toc484439824"/>
      <w:bookmarkStart w:id="1663" w:name="_Toc484438904"/>
      <w:bookmarkStart w:id="1664" w:name="_Toc484438780"/>
      <w:bookmarkStart w:id="1665" w:name="_Toc484438656"/>
      <w:bookmarkStart w:id="1666" w:name="_Toc484429081"/>
      <w:bookmarkStart w:id="1667" w:name="_Toc484428911"/>
      <w:bookmarkStart w:id="1668" w:name="_Toc484097739"/>
      <w:bookmarkStart w:id="1669" w:name="_Toc484011665"/>
      <w:bookmarkStart w:id="1670" w:name="_Toc484011190"/>
      <w:bookmarkStart w:id="1671" w:name="_Toc484011068"/>
      <w:bookmarkStart w:id="1672" w:name="_Toc484010946"/>
      <w:bookmarkStart w:id="1673" w:name="_Toc484010822"/>
      <w:bookmarkStart w:id="1674" w:name="_Toc484010700"/>
      <w:bookmarkStart w:id="1675" w:name="_Toc483906950"/>
      <w:bookmarkStart w:id="1676" w:name="_Toc483571573"/>
      <w:bookmarkStart w:id="1677" w:name="_Toc483571452"/>
      <w:bookmarkStart w:id="1678" w:name="_Toc483474023"/>
      <w:bookmarkStart w:id="1679" w:name="_Toc483401226"/>
      <w:bookmarkStart w:id="1680" w:name="_Toc483325747"/>
      <w:bookmarkStart w:id="1681" w:name="_Toc483316444"/>
      <w:bookmarkStart w:id="1682" w:name="_Toc483316313"/>
      <w:bookmarkStart w:id="1683" w:name="_Toc483316110"/>
      <w:bookmarkStart w:id="1684" w:name="_Toc483315905"/>
      <w:bookmarkStart w:id="1685" w:name="_Toc483302355"/>
      <w:bookmarkStart w:id="1686" w:name="_Toc498419741"/>
      <w:bookmarkStart w:id="1687" w:name="_Toc497831543"/>
      <w:bookmarkStart w:id="1688" w:name="_Toc497728148"/>
      <w:bookmarkStart w:id="1689" w:name="_Toc497484950"/>
      <w:bookmarkStart w:id="1690" w:name="_Toc498419740"/>
      <w:bookmarkStart w:id="1691" w:name="_Toc498419739"/>
      <w:bookmarkStart w:id="1692" w:name="_Toc498419738"/>
      <w:bookmarkStart w:id="1693" w:name="_Toc498419737"/>
      <w:bookmarkStart w:id="1694" w:name="_Toc498419736"/>
      <w:bookmarkStart w:id="1695" w:name="_Toc498419735"/>
      <w:bookmarkStart w:id="1696" w:name="_Toc498419742"/>
      <w:bookmarkStart w:id="1697" w:name="_Toc497831544"/>
      <w:bookmarkStart w:id="1698" w:name="_Toc95495891"/>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Pr>
          <w:rFonts w:ascii="Titillium" w:hAnsi="Titillium"/>
          <w:caps w:val="0"/>
          <w:sz w:val="18"/>
          <w:szCs w:val="18"/>
          <w:lang w:val="it-IT"/>
        </w:rPr>
        <w:t>INDICAZIONI PER I RAGGRUPPAMENTI TEMPORANEI, CONSORZI ORDINARI, AGGREGAZIONI DI IMPRESE DI RETE, GEIE</w:t>
      </w:r>
      <w:bookmarkEnd w:id="1698"/>
    </w:p>
    <w:p w14:paraId="13AE0DFA"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I soggetti di cui all’articolo 45 comma 2, lettera d), e), f) e g) del Codice devono possedere i requisiti di partecipazione nei termini di seguito indicati. </w:t>
      </w:r>
    </w:p>
    <w:p w14:paraId="175AEC24" w14:textId="77777777" w:rsidR="004C53A8" w:rsidRDefault="00870286">
      <w:pPr>
        <w:spacing w:before="60" w:after="60"/>
        <w:rPr>
          <w:rFonts w:ascii="Titillium" w:hAnsi="Titillium" w:cs="Calibri"/>
          <w:sz w:val="18"/>
          <w:szCs w:val="18"/>
        </w:rPr>
      </w:pPr>
      <w:r>
        <w:rPr>
          <w:rFonts w:ascii="Titillium" w:hAnsi="Titillium" w:cs="Calibri"/>
          <w:sz w:val="18"/>
          <w:szCs w:val="18"/>
        </w:rPr>
        <w:t>Alle aggregazioni di retisti, ai consorzi ordinari ed ai GEIE si applica la disciplina prevista per i raggruppamenti temporanei. Nei consorzi ordinari la consorziata che assume la quota maggiore di attività esecutive riveste il ruolo di capofila che è assimilata alla mandataria.</w:t>
      </w:r>
    </w:p>
    <w:p w14:paraId="1621DD06"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Nel caso in cui la mandante/mandataria di un raggruppamento temporaneo sia una sub-associazione, nelle forme di consorzio ordinario costituito oppure di un’aggregazione di retisti, i relativi requisiti di partecipazione sono soddisfatti secondo le medesime modalità indicate per i raggruppamenti. </w:t>
      </w:r>
    </w:p>
    <w:p w14:paraId="39835769" w14:textId="3A49EF5B" w:rsidR="004C53A8" w:rsidRPr="00CC5F1E" w:rsidRDefault="00870286">
      <w:pPr>
        <w:spacing w:before="60" w:after="60"/>
      </w:pPr>
      <w:r>
        <w:rPr>
          <w:rFonts w:ascii="Titillium" w:hAnsi="Titillium" w:cs="Calibri"/>
          <w:sz w:val="18"/>
          <w:szCs w:val="18"/>
        </w:rPr>
        <w:t xml:space="preserve">Il requisito </w:t>
      </w:r>
      <w:r w:rsidRPr="00CC5F1E">
        <w:rPr>
          <w:rFonts w:ascii="Titillium" w:hAnsi="Titillium" w:cs="Calibri"/>
          <w:sz w:val="18"/>
          <w:szCs w:val="18"/>
        </w:rPr>
        <w:t xml:space="preserve">relativo all’iscrizione </w:t>
      </w:r>
      <w:r w:rsidRPr="00CC5F1E">
        <w:rPr>
          <w:rFonts w:ascii="Titillium" w:hAnsi="Titillium" w:cs="Arial"/>
          <w:sz w:val="18"/>
          <w:szCs w:val="18"/>
        </w:rPr>
        <w:t xml:space="preserve">nel </w:t>
      </w:r>
      <w:r w:rsidRPr="00CC5F1E">
        <w:rPr>
          <w:rFonts w:ascii="Titillium" w:hAnsi="Titillium" w:cs="Calibri"/>
          <w:sz w:val="18"/>
          <w:szCs w:val="18"/>
        </w:rPr>
        <w:t xml:space="preserve">Registro delle Imprese oppure nell’Albo delle Imprese artigiane di cui alla </w:t>
      </w:r>
      <w:r w:rsidRPr="00CC5F1E">
        <w:rPr>
          <w:rFonts w:ascii="Titillium" w:hAnsi="Titillium" w:cs="Calibri"/>
          <w:color w:val="000000" w:themeColor="text1"/>
          <w:sz w:val="18"/>
          <w:szCs w:val="18"/>
        </w:rPr>
        <w:t>lettera</w:t>
      </w:r>
      <w:r w:rsidR="004378CE" w:rsidRPr="00CC5F1E">
        <w:rPr>
          <w:rFonts w:ascii="Titillium" w:hAnsi="Titillium" w:cs="Calibri"/>
          <w:color w:val="000000" w:themeColor="text1"/>
          <w:sz w:val="18"/>
          <w:szCs w:val="18"/>
        </w:rPr>
        <w:t xml:space="preserve"> a) </w:t>
      </w:r>
      <w:r w:rsidRPr="00CC5F1E">
        <w:rPr>
          <w:rFonts w:ascii="Titillium" w:hAnsi="Titillium" w:cs="Calibri"/>
          <w:sz w:val="18"/>
          <w:szCs w:val="18"/>
        </w:rPr>
        <w:t>deve essere posseduto:</w:t>
      </w:r>
    </w:p>
    <w:p w14:paraId="7EBD3806" w14:textId="77777777" w:rsidR="004C53A8" w:rsidRDefault="00870286" w:rsidP="0022153A">
      <w:pPr>
        <w:pStyle w:val="Paragrafoelenco"/>
        <w:numPr>
          <w:ilvl w:val="0"/>
          <w:numId w:val="7"/>
        </w:numPr>
        <w:spacing w:before="60" w:after="60"/>
        <w:ind w:left="567" w:hanging="284"/>
      </w:pPr>
      <w:r>
        <w:rPr>
          <w:rFonts w:ascii="Titillium" w:hAnsi="Titillium" w:cs="Calibri"/>
          <w:sz w:val="18"/>
          <w:szCs w:val="18"/>
        </w:rPr>
        <w:t>da ciascun componente del raggruppamento/consorzio/GEIE anche da costituire, nonché dal GEIE medesimo;</w:t>
      </w:r>
    </w:p>
    <w:p w14:paraId="3C1B3910" w14:textId="77777777" w:rsidR="004C53A8" w:rsidRDefault="00870286" w:rsidP="0022153A">
      <w:pPr>
        <w:pStyle w:val="Paragrafoelenco"/>
        <w:numPr>
          <w:ilvl w:val="0"/>
          <w:numId w:val="7"/>
        </w:numPr>
        <w:spacing w:before="60" w:after="60"/>
        <w:ind w:left="567" w:hanging="284"/>
        <w:rPr>
          <w:rFonts w:ascii="Titillium" w:hAnsi="Titillium" w:cs="Calibri"/>
          <w:sz w:val="18"/>
          <w:szCs w:val="18"/>
        </w:rPr>
      </w:pPr>
      <w:r>
        <w:rPr>
          <w:rFonts w:ascii="Titillium" w:hAnsi="Titillium" w:cs="Calibri"/>
          <w:sz w:val="18"/>
          <w:szCs w:val="18"/>
        </w:rPr>
        <w:t>da ciascun componente dell’aggregazione di rete nonché dall’organo comune nel caso in cui questi abbia soggettività giuridica.</w:t>
      </w:r>
    </w:p>
    <w:p w14:paraId="7B68F074" w14:textId="5D112E1C" w:rsidR="004C53A8" w:rsidRPr="00CC5F1E" w:rsidRDefault="00870286">
      <w:pPr>
        <w:spacing w:before="60" w:after="60"/>
      </w:pPr>
      <w:r>
        <w:rPr>
          <w:rFonts w:ascii="Titillium" w:hAnsi="Titillium"/>
          <w:b/>
          <w:i/>
          <w:sz w:val="18"/>
          <w:szCs w:val="18"/>
        </w:rPr>
        <w:t xml:space="preserve">[Se richiesti altri requisiti di </w:t>
      </w:r>
      <w:r w:rsidR="00CC5F1E">
        <w:rPr>
          <w:rFonts w:ascii="Titillium" w:hAnsi="Titillium"/>
          <w:b/>
          <w:i/>
          <w:sz w:val="18"/>
          <w:szCs w:val="18"/>
        </w:rPr>
        <w:t>idoneità]</w:t>
      </w:r>
      <w:r w:rsidR="004378CE">
        <w:rPr>
          <w:rFonts w:ascii="Titillium" w:hAnsi="Titillium"/>
          <w:b/>
          <w:i/>
          <w:sz w:val="18"/>
          <w:szCs w:val="18"/>
        </w:rPr>
        <w:t xml:space="preserve"> </w:t>
      </w:r>
      <w:r w:rsidR="004378CE" w:rsidRPr="004378CE">
        <w:rPr>
          <w:rFonts w:ascii="Titillium" w:hAnsi="Titillium"/>
          <w:sz w:val="18"/>
          <w:szCs w:val="18"/>
        </w:rPr>
        <w:t>Il</w:t>
      </w:r>
      <w:r w:rsidRPr="004378CE">
        <w:rPr>
          <w:rFonts w:ascii="Titillium" w:hAnsi="Titillium" w:cs="Calibri"/>
          <w:sz w:val="18"/>
          <w:szCs w:val="18"/>
        </w:rPr>
        <w:t xml:space="preserve"> </w:t>
      </w:r>
      <w:r>
        <w:rPr>
          <w:rFonts w:ascii="Titillium" w:hAnsi="Titillium" w:cs="Calibri"/>
          <w:sz w:val="18"/>
          <w:szCs w:val="18"/>
        </w:rPr>
        <w:t>requisito relativo</w:t>
      </w:r>
      <w:r>
        <w:rPr>
          <w:rFonts w:ascii="Titillium" w:hAnsi="Titillium" w:cs="Calibri"/>
          <w:b/>
          <w:sz w:val="18"/>
          <w:szCs w:val="18"/>
        </w:rPr>
        <w:t xml:space="preserve"> </w:t>
      </w:r>
      <w:r w:rsidRPr="00DD0FD8">
        <w:rPr>
          <w:rFonts w:ascii="Titillium" w:hAnsi="Titillium" w:cs="Calibri"/>
          <w:sz w:val="18"/>
          <w:szCs w:val="18"/>
        </w:rPr>
        <w:t>all’iscrizione</w:t>
      </w:r>
      <w:r>
        <w:rPr>
          <w:rFonts w:ascii="Titillium" w:hAnsi="Titillium" w:cs="Calibri"/>
          <w:b/>
          <w:sz w:val="18"/>
          <w:szCs w:val="18"/>
        </w:rPr>
        <w:t xml:space="preserve"> </w:t>
      </w:r>
      <w:r>
        <w:rPr>
          <w:rFonts w:ascii="Titillium" w:hAnsi="Titillium" w:cs="Calibri"/>
          <w:sz w:val="18"/>
          <w:szCs w:val="18"/>
        </w:rPr>
        <w:t>…</w:t>
      </w:r>
      <w:r>
        <w:rPr>
          <w:rFonts w:ascii="Titillium" w:hAnsi="Titillium" w:cs="Calibri"/>
          <w:i/>
          <w:sz w:val="18"/>
          <w:szCs w:val="18"/>
          <w:lang w:eastAsia="it-IT"/>
        </w:rPr>
        <w:t xml:space="preserve"> [indicare tipologia di iscrizione richiesta]</w:t>
      </w:r>
      <w:r>
        <w:rPr>
          <w:rFonts w:ascii="Titillium" w:hAnsi="Titillium" w:cs="Calibri"/>
          <w:sz w:val="18"/>
          <w:szCs w:val="18"/>
        </w:rPr>
        <w:t xml:space="preserve"> </w:t>
      </w:r>
      <w:r w:rsidRPr="00CC5F1E">
        <w:rPr>
          <w:rFonts w:ascii="Titillium" w:hAnsi="Titillium" w:cs="Calibri"/>
          <w:sz w:val="18"/>
          <w:szCs w:val="18"/>
        </w:rPr>
        <w:t xml:space="preserve">di cui al punto </w:t>
      </w:r>
      <w:r w:rsidR="004378CE" w:rsidRPr="00CC5F1E">
        <w:rPr>
          <w:rFonts w:ascii="Titillium" w:hAnsi="Titillium" w:cs="Calibri"/>
          <w:sz w:val="18"/>
          <w:szCs w:val="18"/>
        </w:rPr>
        <w:t>6.1</w:t>
      </w:r>
      <w:r w:rsidRPr="00CC5F1E">
        <w:rPr>
          <w:rFonts w:ascii="Titillium" w:hAnsi="Titillium" w:cs="Calibri"/>
          <w:sz w:val="18"/>
          <w:szCs w:val="18"/>
        </w:rPr>
        <w:t xml:space="preserve"> lettera</w:t>
      </w:r>
      <w:r w:rsidR="004378CE" w:rsidRPr="00CC5F1E">
        <w:rPr>
          <w:rFonts w:ascii="Titillium" w:hAnsi="Titillium" w:cs="Calibri"/>
          <w:sz w:val="18"/>
          <w:szCs w:val="18"/>
        </w:rPr>
        <w:t xml:space="preserve"> b)</w:t>
      </w:r>
      <w:r w:rsidRPr="00CC5F1E">
        <w:rPr>
          <w:rFonts w:ascii="Titillium" w:hAnsi="Titillium" w:cs="Calibri"/>
          <w:sz w:val="18"/>
          <w:szCs w:val="18"/>
        </w:rPr>
        <w:t xml:space="preserve"> deve essere posseduto da </w:t>
      </w:r>
      <w:r w:rsidRPr="00CC5F1E">
        <w:rPr>
          <w:rFonts w:ascii="Titillium" w:hAnsi="Titillium" w:cs="Calibri"/>
          <w:i/>
          <w:sz w:val="18"/>
          <w:szCs w:val="18"/>
        </w:rPr>
        <w:t>… [indicare quali soggetti devono possedere il requisito].</w:t>
      </w:r>
    </w:p>
    <w:p w14:paraId="03DD8396" w14:textId="4BA14F2D" w:rsidR="004C53A8" w:rsidRDefault="00AC0147">
      <w:pPr>
        <w:spacing w:before="60" w:after="60"/>
      </w:pPr>
      <w:r>
        <w:rPr>
          <w:rFonts w:ascii="Titillium" w:hAnsi="Titillium"/>
          <w:b/>
          <w:i/>
          <w:sz w:val="18"/>
          <w:szCs w:val="18"/>
        </w:rPr>
        <w:t>[Se richiesto]</w:t>
      </w:r>
      <w:r w:rsidR="00F74E49">
        <w:rPr>
          <w:rFonts w:ascii="Titillium" w:hAnsi="Titillium"/>
          <w:b/>
          <w:i/>
          <w:sz w:val="18"/>
          <w:szCs w:val="18"/>
        </w:rPr>
        <w:t xml:space="preserve"> </w:t>
      </w:r>
      <w:r w:rsidR="00870286">
        <w:rPr>
          <w:rFonts w:ascii="Titillium" w:hAnsi="Titillium" w:cs="Calibri"/>
          <w:sz w:val="18"/>
          <w:szCs w:val="18"/>
          <w:lang w:eastAsia="it-IT"/>
        </w:rPr>
        <w:t xml:space="preserve">Il requisito </w:t>
      </w:r>
      <w:r w:rsidR="00870286" w:rsidRPr="00CC5F1E">
        <w:rPr>
          <w:rFonts w:ascii="Titillium" w:hAnsi="Titillium" w:cs="Calibri"/>
          <w:sz w:val="18"/>
          <w:szCs w:val="18"/>
          <w:lang w:eastAsia="it-IT"/>
        </w:rPr>
        <w:t>relativo al fatturato globale</w:t>
      </w:r>
      <w:r w:rsidR="00870286" w:rsidRPr="00CC5F1E">
        <w:rPr>
          <w:rFonts w:ascii="Titillium" w:hAnsi="Titillium" w:cs="Calibri"/>
          <w:i/>
          <w:sz w:val="18"/>
          <w:szCs w:val="18"/>
          <w:lang w:eastAsia="it-IT"/>
        </w:rPr>
        <w:t xml:space="preserve"> </w:t>
      </w:r>
      <w:r w:rsidR="00870286" w:rsidRPr="00CC5F1E">
        <w:rPr>
          <w:rFonts w:ascii="Titillium" w:hAnsi="Titillium" w:cs="Calibri"/>
          <w:sz w:val="18"/>
          <w:szCs w:val="18"/>
          <w:lang w:eastAsia="it-IT"/>
        </w:rPr>
        <w:t xml:space="preserve">di cui al punto </w:t>
      </w:r>
      <w:r w:rsidR="004378CE" w:rsidRPr="00CC5F1E">
        <w:rPr>
          <w:rFonts w:ascii="Titillium" w:hAnsi="Titillium" w:cs="Calibri"/>
          <w:sz w:val="18"/>
          <w:szCs w:val="18"/>
          <w:lang w:eastAsia="it-IT"/>
        </w:rPr>
        <w:t>6.2</w:t>
      </w:r>
      <w:r w:rsidR="00870286" w:rsidRPr="00CC5F1E">
        <w:rPr>
          <w:rFonts w:ascii="Titillium" w:hAnsi="Titillium" w:cs="Calibri"/>
          <w:sz w:val="18"/>
          <w:szCs w:val="18"/>
          <w:lang w:eastAsia="it-IT"/>
        </w:rPr>
        <w:t xml:space="preserve"> lettera </w:t>
      </w:r>
      <w:r w:rsidR="004378CE" w:rsidRPr="00CC5F1E">
        <w:rPr>
          <w:rFonts w:ascii="Titillium" w:hAnsi="Titillium" w:cs="Calibri"/>
          <w:sz w:val="18"/>
          <w:szCs w:val="18"/>
          <w:lang w:eastAsia="it-IT"/>
        </w:rPr>
        <w:t xml:space="preserve">c) </w:t>
      </w:r>
      <w:r w:rsidR="00870286" w:rsidRPr="00CC5F1E">
        <w:rPr>
          <w:rFonts w:ascii="Titillium" w:hAnsi="Titillium" w:cs="Calibri"/>
          <w:sz w:val="18"/>
          <w:szCs w:val="18"/>
          <w:lang w:eastAsia="it-IT"/>
        </w:rPr>
        <w:t>deve</w:t>
      </w:r>
      <w:r w:rsidR="00870286">
        <w:rPr>
          <w:rFonts w:ascii="Titillium" w:hAnsi="Titillium" w:cs="Calibri"/>
          <w:sz w:val="18"/>
          <w:szCs w:val="18"/>
          <w:lang w:eastAsia="it-IT"/>
        </w:rPr>
        <w:t xml:space="preserve"> essere soddisfatto dal raggruppamento temporaneo nel complesso. Detto requisito deve</w:t>
      </w:r>
      <w:r w:rsidR="004378CE">
        <w:rPr>
          <w:rFonts w:ascii="Titillium" w:hAnsi="Titillium" w:cs="Calibri"/>
          <w:sz w:val="18"/>
          <w:szCs w:val="18"/>
          <w:lang w:eastAsia="it-IT"/>
        </w:rPr>
        <w:t xml:space="preserve"> </w:t>
      </w:r>
      <w:r w:rsidR="00870286">
        <w:rPr>
          <w:rFonts w:ascii="Titillium" w:hAnsi="Titillium" w:cs="Calibri"/>
          <w:sz w:val="18"/>
          <w:szCs w:val="18"/>
          <w:lang w:eastAsia="it-IT"/>
        </w:rPr>
        <w:t xml:space="preserve">essere posseduto in misura maggioritaria dalla mandataria. </w:t>
      </w:r>
    </w:p>
    <w:p w14:paraId="4F582283" w14:textId="5017489B" w:rsidR="004C53A8" w:rsidRDefault="00870286">
      <w:pPr>
        <w:spacing w:before="60" w:after="60"/>
        <w:rPr>
          <w:rFonts w:ascii="Titillium" w:hAnsi="Titillium"/>
          <w:b/>
          <w:i/>
          <w:sz w:val="18"/>
          <w:szCs w:val="18"/>
        </w:rPr>
      </w:pPr>
      <w:r>
        <w:rPr>
          <w:rFonts w:ascii="Titillium" w:hAnsi="Titillium"/>
          <w:b/>
          <w:i/>
          <w:sz w:val="18"/>
          <w:szCs w:val="18"/>
        </w:rPr>
        <w:t>[o in alternativa]</w:t>
      </w:r>
    </w:p>
    <w:p w14:paraId="0330E41E" w14:textId="6B7C45DE" w:rsidR="004C53A8" w:rsidRDefault="00870286">
      <w:pPr>
        <w:spacing w:before="60" w:after="60"/>
      </w:pPr>
      <w:r>
        <w:rPr>
          <w:rFonts w:ascii="Titillium" w:hAnsi="Titillium" w:cs="Calibri"/>
          <w:b/>
          <w:i/>
          <w:sz w:val="18"/>
          <w:szCs w:val="18"/>
          <w:lang w:eastAsia="it-IT"/>
        </w:rPr>
        <w:t xml:space="preserve">[Se richiesto] </w:t>
      </w:r>
      <w:r>
        <w:rPr>
          <w:rFonts w:ascii="Titillium" w:hAnsi="Titillium" w:cs="Calibri"/>
          <w:sz w:val="18"/>
          <w:szCs w:val="18"/>
          <w:lang w:eastAsia="it-IT"/>
        </w:rPr>
        <w:t xml:space="preserve">Il requisito </w:t>
      </w:r>
      <w:r w:rsidRPr="00CC5F1E">
        <w:rPr>
          <w:rFonts w:ascii="Titillium" w:hAnsi="Titillium" w:cs="Calibri"/>
          <w:sz w:val="18"/>
          <w:szCs w:val="18"/>
          <w:lang w:eastAsia="it-IT"/>
        </w:rPr>
        <w:t>relativo al fatturato globale</w:t>
      </w:r>
      <w:r w:rsidRPr="00CC5F1E">
        <w:rPr>
          <w:rFonts w:ascii="Titillium" w:hAnsi="Titillium" w:cs="Calibri"/>
          <w:i/>
          <w:sz w:val="18"/>
          <w:szCs w:val="18"/>
          <w:lang w:eastAsia="it-IT"/>
        </w:rPr>
        <w:t xml:space="preserve"> </w:t>
      </w:r>
      <w:r w:rsidRPr="00CC5F1E">
        <w:rPr>
          <w:rFonts w:ascii="Titillium" w:hAnsi="Titillium" w:cs="Calibri"/>
          <w:sz w:val="18"/>
          <w:szCs w:val="18"/>
          <w:lang w:eastAsia="it-IT"/>
        </w:rPr>
        <w:t xml:space="preserve">di cui al punto </w:t>
      </w:r>
      <w:r w:rsidR="004378CE" w:rsidRPr="00CC5F1E">
        <w:rPr>
          <w:rFonts w:ascii="Titillium" w:hAnsi="Titillium" w:cs="Calibri"/>
          <w:sz w:val="18"/>
          <w:szCs w:val="18"/>
          <w:lang w:eastAsia="it-IT"/>
        </w:rPr>
        <w:t xml:space="preserve">6.2 </w:t>
      </w:r>
      <w:r w:rsidRPr="00CC5F1E">
        <w:rPr>
          <w:rFonts w:ascii="Titillium" w:hAnsi="Titillium" w:cs="Calibri"/>
          <w:sz w:val="18"/>
          <w:szCs w:val="18"/>
          <w:lang w:eastAsia="it-IT"/>
        </w:rPr>
        <w:t xml:space="preserve">lettera </w:t>
      </w:r>
      <w:r w:rsidR="004378CE" w:rsidRPr="00CC5F1E">
        <w:rPr>
          <w:rFonts w:ascii="Titillium" w:hAnsi="Titillium" w:cs="Calibri"/>
          <w:sz w:val="18"/>
          <w:szCs w:val="18"/>
          <w:lang w:eastAsia="it-IT"/>
        </w:rPr>
        <w:t xml:space="preserve">c) </w:t>
      </w:r>
      <w:r w:rsidRPr="00CC5F1E">
        <w:rPr>
          <w:rFonts w:ascii="Titillium" w:hAnsi="Titillium" w:cs="Calibri"/>
          <w:sz w:val="18"/>
          <w:szCs w:val="18"/>
          <w:lang w:eastAsia="it-IT"/>
        </w:rPr>
        <w:t>deve essere</w:t>
      </w:r>
      <w:r>
        <w:rPr>
          <w:rFonts w:ascii="Titillium" w:hAnsi="Titillium" w:cs="Calibri"/>
          <w:sz w:val="18"/>
          <w:szCs w:val="18"/>
          <w:lang w:eastAsia="it-IT"/>
        </w:rPr>
        <w:t xml:space="preserve"> soddisfatto dal raggruppamento temporaneo nei termini di seguito indicati … </w:t>
      </w:r>
      <w:r>
        <w:rPr>
          <w:rFonts w:ascii="Titillium" w:hAnsi="Titillium" w:cs="Calibri"/>
          <w:i/>
          <w:sz w:val="18"/>
          <w:szCs w:val="18"/>
          <w:lang w:eastAsia="it-IT"/>
        </w:rPr>
        <w:t>[la stazione appaltante indica l’eventuale percentuale/altra misura specifica richiesta per la mandataria e/o per le mandanti]</w:t>
      </w:r>
      <w:r>
        <w:rPr>
          <w:rFonts w:ascii="Titillium" w:hAnsi="Titillium" w:cs="Calibri"/>
          <w:sz w:val="18"/>
          <w:szCs w:val="18"/>
          <w:lang w:eastAsia="it-IT"/>
        </w:rPr>
        <w:t xml:space="preserve">. Detto requisito deve essere comunque posseduto in misura maggioritaria dalla mandataria. </w:t>
      </w:r>
    </w:p>
    <w:p w14:paraId="05AC154A" w14:textId="3DEFDC0D" w:rsidR="004C53A8" w:rsidRPr="00CC5F1E" w:rsidRDefault="00870286">
      <w:pPr>
        <w:spacing w:before="60" w:after="60"/>
      </w:pPr>
      <w:r>
        <w:rPr>
          <w:rFonts w:ascii="Titillium" w:hAnsi="Titillium"/>
          <w:b/>
          <w:i/>
          <w:sz w:val="18"/>
          <w:szCs w:val="18"/>
        </w:rPr>
        <w:t>[Se richiesto]</w:t>
      </w:r>
      <w:r>
        <w:rPr>
          <w:rFonts w:ascii="Titillium" w:hAnsi="Titillium" w:cs="Calibri"/>
          <w:sz w:val="18"/>
          <w:szCs w:val="18"/>
          <w:lang w:eastAsia="it-IT"/>
        </w:rPr>
        <w:t xml:space="preserve"> Il requisito relativo</w:t>
      </w:r>
      <w:r>
        <w:rPr>
          <w:rFonts w:ascii="Titillium" w:hAnsi="Titillium" w:cs="Calibri"/>
          <w:b/>
          <w:sz w:val="18"/>
          <w:szCs w:val="18"/>
          <w:lang w:eastAsia="it-IT"/>
        </w:rPr>
        <w:t xml:space="preserve"> </w:t>
      </w:r>
      <w:r>
        <w:rPr>
          <w:rFonts w:ascii="Titillium" w:hAnsi="Titillium" w:cs="Calibri"/>
          <w:sz w:val="18"/>
          <w:szCs w:val="18"/>
          <w:lang w:eastAsia="it-IT"/>
        </w:rPr>
        <w:t>al</w:t>
      </w:r>
      <w:r>
        <w:rPr>
          <w:rFonts w:ascii="Titillium" w:hAnsi="Titillium" w:cs="Calibri"/>
          <w:b/>
          <w:sz w:val="18"/>
          <w:szCs w:val="18"/>
          <w:lang w:eastAsia="it-IT"/>
        </w:rPr>
        <w:t xml:space="preserve"> </w:t>
      </w:r>
      <w:r w:rsidRPr="00CC5F1E">
        <w:rPr>
          <w:rFonts w:ascii="Titillium" w:hAnsi="Titillium" w:cs="Calibri"/>
          <w:sz w:val="18"/>
          <w:szCs w:val="18"/>
          <w:lang w:eastAsia="it-IT"/>
        </w:rPr>
        <w:t>fatturato specifico</w:t>
      </w:r>
      <w:r w:rsidRPr="00CC5F1E">
        <w:rPr>
          <w:rFonts w:ascii="Titillium" w:hAnsi="Titillium" w:cs="Calibri"/>
          <w:i/>
          <w:sz w:val="18"/>
          <w:szCs w:val="18"/>
          <w:lang w:eastAsia="it-IT"/>
        </w:rPr>
        <w:t xml:space="preserve"> </w:t>
      </w:r>
      <w:r w:rsidRPr="00CC5F1E">
        <w:rPr>
          <w:rFonts w:ascii="Titillium" w:hAnsi="Titillium" w:cs="Calibri"/>
          <w:sz w:val="18"/>
          <w:szCs w:val="18"/>
          <w:lang w:eastAsia="it-IT"/>
        </w:rPr>
        <w:t xml:space="preserve">di cui al punto </w:t>
      </w:r>
      <w:r w:rsidR="004378CE" w:rsidRPr="00CC5F1E">
        <w:rPr>
          <w:rFonts w:ascii="Titillium" w:hAnsi="Titillium" w:cs="Calibri"/>
          <w:sz w:val="18"/>
          <w:szCs w:val="18"/>
          <w:lang w:eastAsia="it-IT"/>
        </w:rPr>
        <w:t>6.2</w:t>
      </w:r>
      <w:r w:rsidRPr="00CC5F1E">
        <w:rPr>
          <w:rFonts w:ascii="Titillium" w:hAnsi="Titillium" w:cs="Calibri"/>
          <w:sz w:val="18"/>
          <w:szCs w:val="18"/>
          <w:lang w:eastAsia="it-IT"/>
        </w:rPr>
        <w:t xml:space="preserve"> lettera </w:t>
      </w:r>
      <w:r w:rsidR="00CC5F1E" w:rsidRPr="00CC5F1E">
        <w:rPr>
          <w:rFonts w:ascii="Titillium" w:hAnsi="Titillium" w:cs="Calibri"/>
          <w:sz w:val="18"/>
          <w:szCs w:val="18"/>
        </w:rPr>
        <w:t xml:space="preserve">d) </w:t>
      </w:r>
      <w:r w:rsidRPr="00CC5F1E">
        <w:rPr>
          <w:rFonts w:ascii="Titillium" w:hAnsi="Titillium" w:cs="Calibri"/>
          <w:sz w:val="18"/>
          <w:szCs w:val="18"/>
          <w:lang w:eastAsia="it-IT"/>
        </w:rPr>
        <w:t xml:space="preserve">deve essere soddisfatto dal raggruppamento temporaneo orizzontale nel complesso. Detto requisito deve essere posseduto in misura maggioritaria dalla mandataria. </w:t>
      </w:r>
    </w:p>
    <w:p w14:paraId="35B968D0" w14:textId="77777777" w:rsidR="004C53A8" w:rsidRDefault="00870286">
      <w:pPr>
        <w:spacing w:before="60" w:after="60"/>
        <w:rPr>
          <w:rFonts w:ascii="Titillium" w:hAnsi="Titillium" w:cs="Calibri"/>
          <w:b/>
          <w:i/>
          <w:sz w:val="18"/>
          <w:szCs w:val="18"/>
          <w:lang w:eastAsia="it-IT"/>
        </w:rPr>
      </w:pPr>
      <w:r>
        <w:rPr>
          <w:rFonts w:ascii="Titillium" w:hAnsi="Titillium" w:cs="Calibri"/>
          <w:b/>
          <w:i/>
          <w:sz w:val="18"/>
          <w:szCs w:val="18"/>
          <w:lang w:eastAsia="it-IT"/>
        </w:rPr>
        <w:t>[o in alternativa]</w:t>
      </w:r>
    </w:p>
    <w:p w14:paraId="24F6D57D" w14:textId="6B0BB527" w:rsidR="004C53A8" w:rsidRDefault="00870286">
      <w:pPr>
        <w:spacing w:before="60" w:after="60"/>
      </w:pPr>
      <w:r>
        <w:rPr>
          <w:rFonts w:ascii="Titillium" w:hAnsi="Titillium" w:cs="Calibri"/>
          <w:b/>
          <w:i/>
          <w:sz w:val="18"/>
          <w:szCs w:val="18"/>
          <w:lang w:eastAsia="it-IT"/>
        </w:rPr>
        <w:t xml:space="preserve">[Se richiesto] </w:t>
      </w:r>
      <w:r>
        <w:rPr>
          <w:rFonts w:ascii="Titillium" w:hAnsi="Titillium" w:cs="Calibri"/>
          <w:sz w:val="18"/>
          <w:szCs w:val="18"/>
          <w:lang w:eastAsia="it-IT"/>
        </w:rPr>
        <w:t xml:space="preserve">Il requisito </w:t>
      </w:r>
      <w:r w:rsidRPr="00AC0147">
        <w:rPr>
          <w:rFonts w:ascii="Titillium" w:hAnsi="Titillium" w:cs="Calibri"/>
          <w:sz w:val="18"/>
          <w:szCs w:val="18"/>
          <w:lang w:eastAsia="it-IT"/>
        </w:rPr>
        <w:t>relativo al fatturato specifico</w:t>
      </w:r>
      <w:r w:rsidRPr="00AC0147">
        <w:rPr>
          <w:rFonts w:ascii="Titillium" w:hAnsi="Titillium" w:cs="Calibri"/>
          <w:i/>
          <w:sz w:val="18"/>
          <w:szCs w:val="18"/>
          <w:lang w:eastAsia="it-IT"/>
        </w:rPr>
        <w:t xml:space="preserve"> </w:t>
      </w:r>
      <w:r w:rsidRPr="00AC0147">
        <w:rPr>
          <w:rFonts w:ascii="Titillium" w:hAnsi="Titillium" w:cs="Calibri"/>
          <w:sz w:val="18"/>
          <w:szCs w:val="18"/>
          <w:lang w:eastAsia="it-IT"/>
        </w:rPr>
        <w:t xml:space="preserve">di cui al punto </w:t>
      </w:r>
      <w:r w:rsidR="004378CE" w:rsidRPr="00AC0147">
        <w:rPr>
          <w:rFonts w:ascii="Titillium" w:hAnsi="Titillium" w:cs="Calibri"/>
          <w:sz w:val="18"/>
          <w:szCs w:val="18"/>
          <w:lang w:eastAsia="it-IT"/>
        </w:rPr>
        <w:t>6.2</w:t>
      </w:r>
      <w:r w:rsidRPr="00AC0147">
        <w:rPr>
          <w:rFonts w:ascii="Titillium" w:hAnsi="Titillium" w:cs="Calibri"/>
          <w:sz w:val="18"/>
          <w:szCs w:val="18"/>
          <w:lang w:eastAsia="it-IT"/>
        </w:rPr>
        <w:t xml:space="preserve"> lettera </w:t>
      </w:r>
      <w:r w:rsidR="004378CE" w:rsidRPr="00AC0147">
        <w:rPr>
          <w:rFonts w:ascii="Titillium" w:hAnsi="Titillium" w:cs="Calibri"/>
          <w:sz w:val="18"/>
          <w:szCs w:val="18"/>
          <w:lang w:eastAsia="it-IT"/>
        </w:rPr>
        <w:t xml:space="preserve">d) </w:t>
      </w:r>
      <w:r w:rsidRPr="00AC0147">
        <w:rPr>
          <w:rFonts w:ascii="Titillium" w:hAnsi="Titillium" w:cs="Calibri"/>
          <w:sz w:val="18"/>
          <w:szCs w:val="18"/>
          <w:lang w:eastAsia="it-IT"/>
        </w:rPr>
        <w:t xml:space="preserve">deve essere soddisfatto dal raggruppamento temporaneo orizzontale nei termini di seguito indicati: … </w:t>
      </w:r>
      <w:r w:rsidRPr="00AC0147">
        <w:rPr>
          <w:rFonts w:ascii="Titillium" w:hAnsi="Titillium" w:cs="Calibri"/>
          <w:i/>
          <w:sz w:val="18"/>
          <w:szCs w:val="18"/>
          <w:lang w:eastAsia="it-IT"/>
        </w:rPr>
        <w:t>[la stazione</w:t>
      </w:r>
      <w:r>
        <w:rPr>
          <w:rFonts w:ascii="Titillium" w:hAnsi="Titillium" w:cs="Calibri"/>
          <w:i/>
          <w:sz w:val="18"/>
          <w:szCs w:val="18"/>
          <w:lang w:eastAsia="it-IT"/>
        </w:rPr>
        <w:t xml:space="preserve"> appaltante indica l’eventuale percentuale/altra misura minima richiesta per la mandataria e/o per le mandanti]</w:t>
      </w:r>
      <w:r>
        <w:rPr>
          <w:rFonts w:ascii="Titillium" w:hAnsi="Titillium" w:cs="Calibri"/>
          <w:sz w:val="18"/>
          <w:szCs w:val="18"/>
          <w:lang w:eastAsia="it-IT"/>
        </w:rPr>
        <w:t xml:space="preserve">. Detto requisito deve essere comunque posseduto in misura maggioritaria dalla mandataria. </w:t>
      </w:r>
    </w:p>
    <w:p w14:paraId="2C68D01D" w14:textId="77777777" w:rsidR="004C53A8" w:rsidRDefault="00870286">
      <w:pPr>
        <w:spacing w:before="60" w:after="60"/>
        <w:rPr>
          <w:rFonts w:ascii="Titillium" w:hAnsi="Titillium" w:cs="Calibri"/>
          <w:b/>
          <w:i/>
          <w:sz w:val="18"/>
          <w:szCs w:val="18"/>
          <w:lang w:eastAsia="it-IT"/>
        </w:rPr>
      </w:pPr>
      <w:r>
        <w:rPr>
          <w:rFonts w:ascii="Titillium" w:hAnsi="Titillium" w:cs="Calibri"/>
          <w:b/>
          <w:i/>
          <w:sz w:val="18"/>
          <w:szCs w:val="18"/>
          <w:lang w:eastAsia="it-IT"/>
        </w:rPr>
        <w:t>[o in alternativa]</w:t>
      </w:r>
    </w:p>
    <w:p w14:paraId="4C04A8C0" w14:textId="41F1095B" w:rsidR="004C53A8" w:rsidRDefault="00870286">
      <w:pPr>
        <w:spacing w:before="60" w:after="60"/>
      </w:pPr>
      <w:r>
        <w:rPr>
          <w:rFonts w:ascii="Titillium" w:hAnsi="Titillium" w:cs="Calibri"/>
          <w:b/>
          <w:i/>
          <w:sz w:val="18"/>
          <w:szCs w:val="18"/>
          <w:lang w:eastAsia="it-IT"/>
        </w:rPr>
        <w:t xml:space="preserve">[Se richiesto] </w:t>
      </w:r>
      <w:r>
        <w:rPr>
          <w:rFonts w:ascii="Titillium" w:hAnsi="Titillium" w:cs="Calibri"/>
          <w:sz w:val="18"/>
          <w:szCs w:val="18"/>
          <w:lang w:eastAsia="it-IT"/>
        </w:rPr>
        <w:t xml:space="preserve">Il requisito relativo al fatturato specifico di </w:t>
      </w:r>
      <w:r w:rsidRPr="00CC5F1E">
        <w:rPr>
          <w:rFonts w:ascii="Titillium" w:hAnsi="Titillium" w:cs="Calibri"/>
          <w:sz w:val="18"/>
          <w:szCs w:val="18"/>
          <w:lang w:eastAsia="it-IT"/>
        </w:rPr>
        <w:t xml:space="preserve">cui al </w:t>
      </w:r>
      <w:r w:rsidRPr="00CC5F1E">
        <w:rPr>
          <w:rFonts w:ascii="Titillium" w:hAnsi="Titillium" w:cs="Calibri"/>
          <w:bCs/>
          <w:sz w:val="18"/>
          <w:szCs w:val="18"/>
          <w:lang w:eastAsia="it-IT"/>
        </w:rPr>
        <w:t xml:space="preserve">punto </w:t>
      </w:r>
      <w:r w:rsidR="004378CE" w:rsidRPr="00CC5F1E">
        <w:rPr>
          <w:rFonts w:ascii="Titillium" w:hAnsi="Titillium" w:cs="Calibri"/>
          <w:bCs/>
          <w:sz w:val="18"/>
          <w:szCs w:val="18"/>
          <w:lang w:eastAsia="it-IT"/>
        </w:rPr>
        <w:t>6.2</w:t>
      </w:r>
      <w:r w:rsidRPr="00CC5F1E">
        <w:rPr>
          <w:rFonts w:ascii="Titillium" w:hAnsi="Titillium" w:cs="Calibri"/>
          <w:bCs/>
          <w:sz w:val="18"/>
          <w:szCs w:val="18"/>
          <w:lang w:eastAsia="it-IT"/>
        </w:rPr>
        <w:t xml:space="preserve"> lettera</w:t>
      </w:r>
      <w:r w:rsidR="004378CE" w:rsidRPr="00CC5F1E">
        <w:rPr>
          <w:rFonts w:ascii="Titillium" w:hAnsi="Titillium" w:cs="Calibri"/>
          <w:bCs/>
          <w:sz w:val="18"/>
          <w:szCs w:val="18"/>
          <w:lang w:eastAsia="it-IT"/>
        </w:rPr>
        <w:t xml:space="preserve"> d</w:t>
      </w:r>
      <w:r w:rsidRPr="00CC5F1E">
        <w:rPr>
          <w:rFonts w:ascii="Titillium" w:hAnsi="Titillium" w:cs="Calibri"/>
          <w:bCs/>
          <w:sz w:val="18"/>
          <w:szCs w:val="18"/>
          <w:lang w:eastAsia="it-IT"/>
        </w:rPr>
        <w:t xml:space="preserve">) </w:t>
      </w:r>
      <w:r w:rsidRPr="00CC5F1E">
        <w:rPr>
          <w:rFonts w:ascii="Titillium" w:hAnsi="Titillium" w:cs="Calibri"/>
          <w:sz w:val="18"/>
          <w:szCs w:val="18"/>
          <w:lang w:eastAsia="it-IT"/>
        </w:rPr>
        <w:t>relativo</w:t>
      </w:r>
      <w:r>
        <w:rPr>
          <w:rFonts w:ascii="Titillium" w:hAnsi="Titillium" w:cs="Calibri"/>
          <w:sz w:val="18"/>
          <w:szCs w:val="18"/>
          <w:lang w:eastAsia="it-IT"/>
        </w:rPr>
        <w:t xml:space="preserve"> alla prestazione principale deve essere soddisfatto, in caso di </w:t>
      </w:r>
      <w:r w:rsidR="004378CE">
        <w:rPr>
          <w:rFonts w:ascii="Titillium" w:hAnsi="Titillium" w:cs="Calibri"/>
          <w:sz w:val="18"/>
          <w:szCs w:val="18"/>
          <w:lang w:eastAsia="it-IT"/>
        </w:rPr>
        <w:t>r</w:t>
      </w:r>
      <w:r>
        <w:rPr>
          <w:rFonts w:ascii="Titillium" w:hAnsi="Titillium" w:cs="Calibri"/>
          <w:sz w:val="18"/>
          <w:szCs w:val="18"/>
          <w:lang w:eastAsia="it-IT"/>
        </w:rPr>
        <w:t xml:space="preserve">aggruppamento temporaneo verticale, </w:t>
      </w:r>
      <w:r>
        <w:rPr>
          <w:rFonts w:ascii="Titillium" w:hAnsi="Titillium"/>
          <w:sz w:val="18"/>
          <w:szCs w:val="18"/>
        </w:rPr>
        <w:t xml:space="preserve">dalla mandataria; il fatturato specifico </w:t>
      </w:r>
      <w:r>
        <w:rPr>
          <w:rFonts w:ascii="Titillium" w:hAnsi="Titillium" w:cs="Calibri"/>
          <w:sz w:val="18"/>
          <w:szCs w:val="18"/>
          <w:lang w:eastAsia="it-IT"/>
        </w:rPr>
        <w:t xml:space="preserve">relativo </w:t>
      </w:r>
      <w:r>
        <w:rPr>
          <w:rFonts w:ascii="Titillium" w:hAnsi="Titillium"/>
          <w:sz w:val="18"/>
          <w:szCs w:val="18"/>
        </w:rPr>
        <w:t xml:space="preserve">alle prestazioni secondarie deve essere soddisfatto </w:t>
      </w:r>
      <w:r w:rsidR="003D5B9E">
        <w:rPr>
          <w:rFonts w:ascii="Titillium" w:hAnsi="Titillium"/>
          <w:sz w:val="18"/>
          <w:szCs w:val="18"/>
        </w:rPr>
        <w:t>deve</w:t>
      </w:r>
      <w:r>
        <w:rPr>
          <w:rFonts w:ascii="Titillium" w:hAnsi="Titillium"/>
          <w:sz w:val="18"/>
          <w:szCs w:val="18"/>
        </w:rPr>
        <w:t xml:space="preserve"> essere dimostrato dalle mandanti esecutrici o da quest’ultime unitamente alla mandataria. </w:t>
      </w:r>
    </w:p>
    <w:p w14:paraId="69CA9AC6" w14:textId="77777777" w:rsidR="004C53A8" w:rsidRDefault="00870286">
      <w:pPr>
        <w:spacing w:before="60" w:after="60"/>
        <w:rPr>
          <w:rFonts w:ascii="Titillium" w:hAnsi="Titillium"/>
          <w:sz w:val="18"/>
          <w:szCs w:val="18"/>
        </w:rPr>
      </w:pPr>
      <w:r>
        <w:rPr>
          <w:rFonts w:ascii="Titillium" w:hAnsi="Titillium"/>
          <w:sz w:val="18"/>
          <w:szCs w:val="18"/>
        </w:rPr>
        <w:t xml:space="preserve">Nel raggruppamento misto si applica la regola del raggruppamento verticale e per le singole prestazioni (principale e secondaria) che sono eseguite in raggruppamento di tipo orizzontale si applica la regola prevista per quest’ultimo. </w:t>
      </w:r>
    </w:p>
    <w:p w14:paraId="1CA093A5" w14:textId="62D1D863" w:rsidR="004C53A8" w:rsidRDefault="00870286">
      <w:pPr>
        <w:spacing w:before="60" w:after="60"/>
      </w:pPr>
      <w:r>
        <w:rPr>
          <w:rFonts w:ascii="Titillium" w:hAnsi="Titillium"/>
          <w:b/>
          <w:i/>
          <w:sz w:val="18"/>
          <w:szCs w:val="18"/>
        </w:rPr>
        <w:t xml:space="preserve">[Se richiesto] </w:t>
      </w:r>
      <w:r>
        <w:rPr>
          <w:rFonts w:ascii="Titillium" w:hAnsi="Titillium" w:cs="Calibri"/>
          <w:sz w:val="18"/>
          <w:szCs w:val="18"/>
          <w:lang w:eastAsia="it-IT"/>
        </w:rPr>
        <w:t xml:space="preserve">Il requisito relativo </w:t>
      </w:r>
      <w:r w:rsidRPr="00CC5F1E">
        <w:rPr>
          <w:rFonts w:ascii="Titillium" w:hAnsi="Titillium" w:cs="Calibri"/>
          <w:sz w:val="18"/>
          <w:szCs w:val="18"/>
          <w:lang w:eastAsia="it-IT"/>
        </w:rPr>
        <w:t xml:space="preserve">ai rapporti minimi tra attività e passività richiesti al precedente punto </w:t>
      </w:r>
      <w:r w:rsidR="004378CE" w:rsidRPr="00CC5F1E">
        <w:rPr>
          <w:rFonts w:ascii="Titillium" w:hAnsi="Titillium" w:cs="Calibri"/>
          <w:sz w:val="18"/>
          <w:szCs w:val="18"/>
          <w:lang w:eastAsia="it-IT"/>
        </w:rPr>
        <w:t>6.2</w:t>
      </w:r>
      <w:r w:rsidRPr="00CC5F1E">
        <w:rPr>
          <w:rFonts w:ascii="Titillium" w:hAnsi="Titillium" w:cs="Calibri"/>
          <w:sz w:val="18"/>
          <w:szCs w:val="18"/>
        </w:rPr>
        <w:fldChar w:fldCharType="begin"/>
      </w:r>
      <w:r w:rsidRPr="00CC5F1E">
        <w:rPr>
          <w:rFonts w:ascii="Titillium" w:hAnsi="Titillium" w:cs="Calibri"/>
          <w:sz w:val="18"/>
          <w:szCs w:val="18"/>
        </w:rPr>
        <w:instrText>REF _Ref495411575 \r \h</w:instrText>
      </w:r>
      <w:r w:rsidR="00CC5F1E" w:rsidRP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6F0CBC">
        <w:rPr>
          <w:rFonts w:ascii="Titillium" w:hAnsi="Titillium" w:cs="Calibri"/>
          <w:sz w:val="18"/>
          <w:szCs w:val="18"/>
        </w:rPr>
        <w:t>6.2</w:t>
      </w:r>
      <w:r w:rsidRPr="00CC5F1E">
        <w:rPr>
          <w:rFonts w:ascii="Titillium" w:hAnsi="Titillium" w:cs="Calibri"/>
          <w:sz w:val="18"/>
          <w:szCs w:val="18"/>
        </w:rPr>
        <w:fldChar w:fldCharType="end"/>
      </w:r>
      <w:r w:rsidRPr="00CC5F1E">
        <w:rPr>
          <w:rFonts w:ascii="Titillium" w:hAnsi="Titillium"/>
          <w:sz w:val="18"/>
          <w:szCs w:val="18"/>
        </w:rPr>
        <w:t xml:space="preserve"> lettera </w:t>
      </w:r>
      <w:r w:rsidR="003D5B9E" w:rsidRPr="00CC5F1E">
        <w:rPr>
          <w:rFonts w:ascii="Titillium" w:hAnsi="Titillium"/>
          <w:sz w:val="18"/>
          <w:szCs w:val="18"/>
        </w:rPr>
        <w:t>e</w:t>
      </w:r>
      <w:r w:rsidR="004378CE" w:rsidRPr="00CC5F1E">
        <w:rPr>
          <w:rFonts w:ascii="Titillium" w:hAnsi="Titillium"/>
          <w:sz w:val="18"/>
          <w:szCs w:val="18"/>
        </w:rPr>
        <w:t xml:space="preserve">) </w:t>
      </w:r>
      <w:r w:rsidRPr="00CC5F1E">
        <w:rPr>
          <w:rFonts w:ascii="Titillium" w:hAnsi="Titillium" w:cs="Calibri"/>
          <w:sz w:val="18"/>
          <w:szCs w:val="18"/>
          <w:lang w:eastAsia="it-IT"/>
        </w:rPr>
        <w:t xml:space="preserve">deve essere soddisfatto da </w:t>
      </w:r>
      <w:r w:rsidRPr="00CC5F1E">
        <w:rPr>
          <w:rFonts w:ascii="Titillium" w:hAnsi="Titillium"/>
          <w:sz w:val="18"/>
          <w:szCs w:val="18"/>
        </w:rPr>
        <w:t>…[</w:t>
      </w:r>
      <w:r w:rsidRPr="00CC5F1E">
        <w:rPr>
          <w:rFonts w:ascii="Titillium" w:hAnsi="Titillium"/>
          <w:i/>
          <w:sz w:val="18"/>
          <w:szCs w:val="18"/>
        </w:rPr>
        <w:t>la stazione appaltante indica</w:t>
      </w:r>
      <w:r>
        <w:rPr>
          <w:rFonts w:ascii="Titillium" w:hAnsi="Titillium"/>
          <w:i/>
          <w:sz w:val="18"/>
          <w:szCs w:val="18"/>
        </w:rPr>
        <w:t xml:space="preserve"> quali soggetti devono possedere il requisito]</w:t>
      </w:r>
    </w:p>
    <w:p w14:paraId="012505E2" w14:textId="146176AC" w:rsidR="004C53A8" w:rsidRPr="00CC5F1E" w:rsidRDefault="003D5B9E">
      <w:pPr>
        <w:spacing w:before="60" w:after="60"/>
      </w:pPr>
      <w:r>
        <w:rPr>
          <w:rFonts w:ascii="Titillium" w:hAnsi="Titillium"/>
          <w:b/>
          <w:i/>
          <w:sz w:val="18"/>
          <w:szCs w:val="18"/>
        </w:rPr>
        <w:t xml:space="preserve"> </w:t>
      </w:r>
      <w:r w:rsidR="00870286">
        <w:rPr>
          <w:rFonts w:ascii="Titillium" w:hAnsi="Titillium"/>
          <w:b/>
          <w:i/>
          <w:sz w:val="18"/>
          <w:szCs w:val="18"/>
        </w:rPr>
        <w:t xml:space="preserve">[Se richiesto] </w:t>
      </w:r>
      <w:r w:rsidR="00870286">
        <w:rPr>
          <w:rFonts w:ascii="Titillium" w:hAnsi="Titillium" w:cs="Calibri"/>
          <w:sz w:val="18"/>
          <w:szCs w:val="18"/>
          <w:lang w:eastAsia="it-IT"/>
        </w:rPr>
        <w:t xml:space="preserve">Il requisito relativo alla </w:t>
      </w:r>
      <w:r w:rsidR="00870286" w:rsidRPr="00CC5F1E">
        <w:rPr>
          <w:rFonts w:ascii="Titillium" w:hAnsi="Titillium" w:cs="Calibri"/>
          <w:sz w:val="18"/>
          <w:szCs w:val="18"/>
          <w:lang w:eastAsia="it-IT"/>
        </w:rPr>
        <w:t xml:space="preserve">copertura assicurativa di cui al punto </w:t>
      </w:r>
      <w:r w:rsidR="004378CE" w:rsidRPr="00CC5F1E">
        <w:rPr>
          <w:rFonts w:ascii="Titillium" w:hAnsi="Titillium" w:cs="Calibri"/>
          <w:sz w:val="18"/>
          <w:szCs w:val="18"/>
          <w:lang w:eastAsia="it-IT"/>
        </w:rPr>
        <w:t>6.2</w:t>
      </w:r>
      <w:r w:rsidR="00870286" w:rsidRPr="00CC5F1E">
        <w:rPr>
          <w:rFonts w:ascii="Titillium" w:hAnsi="Titillium"/>
          <w:sz w:val="18"/>
          <w:szCs w:val="18"/>
        </w:rPr>
        <w:t xml:space="preserve"> lettera </w:t>
      </w:r>
      <w:r w:rsidRPr="00CC5F1E">
        <w:rPr>
          <w:rFonts w:ascii="Titillium" w:hAnsi="Titillium"/>
          <w:sz w:val="18"/>
          <w:szCs w:val="18"/>
        </w:rPr>
        <w:t xml:space="preserve">f) </w:t>
      </w:r>
      <w:r w:rsidR="00870286" w:rsidRPr="00CC5F1E">
        <w:rPr>
          <w:rFonts w:ascii="Titillium" w:hAnsi="Titillium" w:cs="Calibri"/>
          <w:sz w:val="18"/>
          <w:szCs w:val="18"/>
          <w:lang w:eastAsia="it-IT"/>
        </w:rPr>
        <w:t>deve essere soddisfatto da</w:t>
      </w:r>
      <w:r w:rsidRPr="00CC5F1E">
        <w:rPr>
          <w:rFonts w:ascii="Titillium" w:hAnsi="Titillium" w:cs="Calibri"/>
          <w:sz w:val="18"/>
          <w:szCs w:val="18"/>
          <w:lang w:eastAsia="it-IT"/>
        </w:rPr>
        <w:t>l raggruppamento temporaneo nel suo insieme</w:t>
      </w:r>
      <w:r w:rsidR="00D764A6" w:rsidRPr="00CC5F1E">
        <w:rPr>
          <w:rFonts w:ascii="Titillium" w:hAnsi="Titillium" w:cs="Calibri"/>
          <w:sz w:val="18"/>
          <w:szCs w:val="18"/>
          <w:lang w:eastAsia="it-IT"/>
        </w:rPr>
        <w:t>.</w:t>
      </w:r>
      <w:r w:rsidRPr="00CC5F1E">
        <w:rPr>
          <w:rFonts w:ascii="Titillium" w:hAnsi="Titillium" w:cs="Calibri"/>
          <w:sz w:val="18"/>
          <w:szCs w:val="18"/>
          <w:lang w:eastAsia="it-IT"/>
        </w:rPr>
        <w:t xml:space="preserve"> </w:t>
      </w:r>
      <w:r w:rsidR="00870286" w:rsidRPr="00CC5F1E">
        <w:rPr>
          <w:rFonts w:ascii="Titillium" w:hAnsi="Titillium" w:cs="Calibri"/>
          <w:sz w:val="18"/>
          <w:szCs w:val="18"/>
          <w:lang w:eastAsia="it-IT"/>
        </w:rPr>
        <w:t xml:space="preserve"> </w:t>
      </w:r>
    </w:p>
    <w:p w14:paraId="5B8058FD" w14:textId="3C5A90E7" w:rsidR="004C53A8" w:rsidRPr="00AC0147" w:rsidRDefault="00870286">
      <w:pPr>
        <w:spacing w:before="60" w:after="60"/>
        <w:rPr>
          <w:rFonts w:ascii="Titillium" w:hAnsi="Titillium" w:cs="Calibri"/>
          <w:sz w:val="18"/>
          <w:szCs w:val="18"/>
        </w:rPr>
      </w:pPr>
      <w:r>
        <w:rPr>
          <w:rFonts w:ascii="Titillium" w:hAnsi="Titillium" w:cs="Calibri"/>
          <w:b/>
          <w:i/>
          <w:sz w:val="18"/>
          <w:szCs w:val="18"/>
        </w:rPr>
        <w:t xml:space="preserve">[In caso di servizio/fornitura “di punta” richiesto nella prestazione principale] </w:t>
      </w:r>
      <w:r>
        <w:rPr>
          <w:rFonts w:ascii="Titillium" w:hAnsi="Titillium" w:cs="Calibri"/>
          <w:sz w:val="18"/>
          <w:szCs w:val="18"/>
        </w:rPr>
        <w:t xml:space="preserve">Il </w:t>
      </w:r>
      <w:r w:rsidRPr="00AC0147">
        <w:rPr>
          <w:rFonts w:ascii="Titillium" w:hAnsi="Titillium" w:cs="Calibri"/>
          <w:sz w:val="18"/>
          <w:szCs w:val="18"/>
        </w:rPr>
        <w:t xml:space="preserve">requisito del servizio/fornitura di punta di cui al precedente punto </w:t>
      </w:r>
      <w:r w:rsidR="005133EE" w:rsidRPr="00AC0147">
        <w:rPr>
          <w:rFonts w:ascii="Titillium" w:hAnsi="Titillium" w:cs="Calibri"/>
          <w:sz w:val="18"/>
          <w:szCs w:val="18"/>
        </w:rPr>
        <w:t>6.3</w:t>
      </w:r>
      <w:r w:rsidRPr="00AC0147">
        <w:rPr>
          <w:rFonts w:ascii="Titillium" w:hAnsi="Titillium" w:cs="Calibri"/>
          <w:sz w:val="18"/>
          <w:szCs w:val="18"/>
        </w:rPr>
        <w:t xml:space="preserve"> lettera </w:t>
      </w:r>
      <w:r w:rsidRPr="00AC0147">
        <w:rPr>
          <w:rFonts w:ascii="Titillium" w:hAnsi="Titillium" w:cs="Calibri"/>
          <w:sz w:val="18"/>
          <w:szCs w:val="18"/>
        </w:rPr>
        <w:fldChar w:fldCharType="begin"/>
      </w:r>
      <w:r w:rsidRPr="00AC0147">
        <w:rPr>
          <w:rFonts w:ascii="Titillium" w:hAnsi="Titillium" w:cs="Calibri"/>
          <w:sz w:val="18"/>
          <w:szCs w:val="18"/>
        </w:rPr>
        <w:instrText>REF _Ref497922628 \r \h</w:instrText>
      </w:r>
      <w:r w:rsidR="00CC5F1E" w:rsidRPr="00AC0147">
        <w:rPr>
          <w:rFonts w:ascii="Titillium" w:hAnsi="Titillium" w:cs="Calibri"/>
          <w:sz w:val="18"/>
          <w:szCs w:val="18"/>
        </w:rPr>
        <w:instrText xml:space="preserve"> \* MERGEFORMAT </w:instrText>
      </w:r>
      <w:r w:rsidRPr="00AC0147">
        <w:rPr>
          <w:rFonts w:ascii="Titillium" w:hAnsi="Titillium" w:cs="Calibri"/>
          <w:sz w:val="18"/>
          <w:szCs w:val="18"/>
        </w:rPr>
      </w:r>
      <w:r w:rsidRPr="00AC0147">
        <w:rPr>
          <w:rFonts w:ascii="Titillium" w:hAnsi="Titillium" w:cs="Calibri"/>
          <w:sz w:val="18"/>
          <w:szCs w:val="18"/>
        </w:rPr>
        <w:fldChar w:fldCharType="separate"/>
      </w:r>
      <w:r w:rsidR="006F0CBC">
        <w:rPr>
          <w:rFonts w:ascii="Titillium" w:hAnsi="Titillium" w:cs="Calibri"/>
          <w:sz w:val="18"/>
          <w:szCs w:val="18"/>
        </w:rPr>
        <w:t>g)</w:t>
      </w:r>
      <w:r w:rsidRPr="00AC0147">
        <w:rPr>
          <w:rFonts w:ascii="Titillium" w:hAnsi="Titillium" w:cs="Calibri"/>
          <w:sz w:val="18"/>
          <w:szCs w:val="18"/>
        </w:rPr>
        <w:fldChar w:fldCharType="end"/>
      </w:r>
      <w:r w:rsidRPr="00AC0147">
        <w:rPr>
          <w:rFonts w:ascii="Titillium" w:hAnsi="Titillium" w:cs="Calibri"/>
          <w:sz w:val="18"/>
          <w:szCs w:val="18"/>
        </w:rPr>
        <w:t xml:space="preserve"> deve essere posseduto per intero dalla mandataria.</w:t>
      </w:r>
    </w:p>
    <w:p w14:paraId="555E8E17" w14:textId="3785A340" w:rsidR="005133EE" w:rsidRDefault="005133EE" w:rsidP="005133EE">
      <w:pPr>
        <w:spacing w:before="60" w:after="60"/>
      </w:pPr>
      <w:r>
        <w:rPr>
          <w:rFonts w:ascii="Titillium" w:hAnsi="Titillium" w:cs="Calibri"/>
          <w:b/>
          <w:i/>
          <w:sz w:val="18"/>
          <w:szCs w:val="18"/>
        </w:rPr>
        <w:t xml:space="preserve">[In caso di servizio/fornitura “di punta” richiesto in una prestazione secondaria] </w:t>
      </w:r>
      <w:r>
        <w:rPr>
          <w:rFonts w:ascii="Titillium" w:hAnsi="Titillium" w:cs="Calibri"/>
          <w:sz w:val="18"/>
          <w:szCs w:val="18"/>
        </w:rPr>
        <w:t xml:space="preserve">Il requisito </w:t>
      </w:r>
      <w:r w:rsidRPr="00CC5F1E">
        <w:rPr>
          <w:rFonts w:ascii="Titillium" w:hAnsi="Titillium" w:cs="Calibri"/>
          <w:sz w:val="18"/>
          <w:szCs w:val="18"/>
        </w:rPr>
        <w:t xml:space="preserve">del servizio/fornitura di punta per la prestazione secondaria di cui al precedente punto 6.3 lettera </w:t>
      </w:r>
      <w:r w:rsidRPr="00CC5F1E">
        <w:rPr>
          <w:rFonts w:ascii="Titillium" w:hAnsi="Titillium" w:cs="Calibri"/>
          <w:sz w:val="18"/>
          <w:szCs w:val="18"/>
        </w:rPr>
        <w:fldChar w:fldCharType="begin"/>
      </w:r>
      <w:r w:rsidRPr="00CC5F1E">
        <w:rPr>
          <w:rFonts w:ascii="Titillium" w:hAnsi="Titillium" w:cs="Calibri"/>
          <w:sz w:val="18"/>
          <w:szCs w:val="18"/>
        </w:rPr>
        <w:instrText>REF _Ref497922628 \r \h</w:instrText>
      </w:r>
      <w:r w:rsidR="00CC5F1E" w:rsidRP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6F0CBC">
        <w:rPr>
          <w:rFonts w:ascii="Titillium" w:hAnsi="Titillium" w:cs="Calibri"/>
          <w:sz w:val="18"/>
          <w:szCs w:val="18"/>
        </w:rPr>
        <w:t>g)</w:t>
      </w:r>
      <w:r w:rsidRPr="00CC5F1E">
        <w:rPr>
          <w:rFonts w:ascii="Titillium" w:hAnsi="Titillium" w:cs="Calibri"/>
          <w:sz w:val="18"/>
          <w:szCs w:val="18"/>
        </w:rPr>
        <w:fldChar w:fldCharType="end"/>
      </w:r>
      <w:r w:rsidRPr="00CC5F1E">
        <w:rPr>
          <w:rFonts w:ascii="Titillium" w:hAnsi="Titillium" w:cs="Calibri"/>
          <w:sz w:val="18"/>
          <w:szCs w:val="18"/>
        </w:rPr>
        <w:t xml:space="preserve"> deve essere posseduto per intero dall’impresa</w:t>
      </w:r>
      <w:r>
        <w:rPr>
          <w:rFonts w:ascii="Titillium" w:hAnsi="Titillium" w:cs="Calibri"/>
          <w:sz w:val="18"/>
          <w:szCs w:val="18"/>
        </w:rPr>
        <w:t xml:space="preserve"> esecutrice.</w:t>
      </w:r>
    </w:p>
    <w:p w14:paraId="56C52345" w14:textId="25E244C9" w:rsidR="00CC5F1E" w:rsidRDefault="00FB1A7A" w:rsidP="00B87B2B">
      <w:pPr>
        <w:spacing w:before="60" w:after="60"/>
        <w:rPr>
          <w:rFonts w:ascii="Titillium" w:hAnsi="Titillium" w:cs="Calibri"/>
          <w:sz w:val="18"/>
          <w:szCs w:val="18"/>
        </w:rPr>
      </w:pPr>
      <w:r>
        <w:rPr>
          <w:rFonts w:ascii="Titillium" w:hAnsi="Titillium" w:cs="Calibri"/>
          <w:b/>
          <w:i/>
          <w:sz w:val="18"/>
          <w:szCs w:val="18"/>
        </w:rPr>
        <w:t>[Eventuale i</w:t>
      </w:r>
      <w:r w:rsidR="00870286">
        <w:rPr>
          <w:rFonts w:ascii="Titillium" w:hAnsi="Titillium" w:cs="Calibri"/>
          <w:b/>
          <w:i/>
          <w:sz w:val="18"/>
          <w:szCs w:val="18"/>
        </w:rPr>
        <w:t xml:space="preserve">n caso di elenco di servizi/forniture analoghi] </w:t>
      </w:r>
      <w:r w:rsidR="00870286">
        <w:rPr>
          <w:rFonts w:ascii="Titillium" w:hAnsi="Titillium" w:cs="Calibri"/>
          <w:sz w:val="18"/>
          <w:szCs w:val="18"/>
        </w:rPr>
        <w:t xml:space="preserve">Il requisito </w:t>
      </w:r>
      <w:r w:rsidR="00870286" w:rsidRPr="00CC5F1E">
        <w:rPr>
          <w:rFonts w:ascii="Titillium" w:hAnsi="Titillium" w:cs="Calibri"/>
          <w:sz w:val="18"/>
          <w:szCs w:val="18"/>
        </w:rPr>
        <w:t>dell’elenco dei servizi/forniture analoghi</w:t>
      </w:r>
      <w:r w:rsidR="00870286">
        <w:rPr>
          <w:rFonts w:ascii="Titillium" w:hAnsi="Titillium" w:cs="Calibri"/>
          <w:sz w:val="18"/>
          <w:szCs w:val="18"/>
        </w:rPr>
        <w:t xml:space="preserve"> di cui al precedente </w:t>
      </w:r>
      <w:r w:rsidR="00870286" w:rsidRPr="00CC5F1E">
        <w:rPr>
          <w:rFonts w:ascii="Titillium" w:hAnsi="Titillium" w:cs="Calibri"/>
          <w:sz w:val="18"/>
          <w:szCs w:val="18"/>
        </w:rPr>
        <w:t xml:space="preserve">punto </w:t>
      </w:r>
      <w:r w:rsidR="005133EE" w:rsidRPr="00CC5F1E">
        <w:rPr>
          <w:rFonts w:ascii="Titillium" w:hAnsi="Titillium" w:cs="Calibri"/>
          <w:sz w:val="18"/>
          <w:szCs w:val="18"/>
        </w:rPr>
        <w:t>6.3</w:t>
      </w:r>
      <w:r w:rsidR="00870286" w:rsidRPr="00CC5F1E">
        <w:rPr>
          <w:rFonts w:ascii="Titillium" w:hAnsi="Titillium" w:cs="Calibri"/>
          <w:sz w:val="18"/>
          <w:szCs w:val="18"/>
        </w:rPr>
        <w:t xml:space="preserve"> lettera </w:t>
      </w:r>
      <w:r w:rsidR="00870286" w:rsidRPr="00CC5F1E">
        <w:rPr>
          <w:rFonts w:ascii="Titillium" w:hAnsi="Titillium" w:cs="Calibri"/>
          <w:sz w:val="18"/>
          <w:szCs w:val="18"/>
        </w:rPr>
        <w:fldChar w:fldCharType="begin"/>
      </w:r>
      <w:r w:rsidR="00870286" w:rsidRPr="00CC5F1E">
        <w:rPr>
          <w:rFonts w:ascii="Titillium" w:hAnsi="Titillium" w:cs="Calibri"/>
          <w:sz w:val="18"/>
          <w:szCs w:val="18"/>
        </w:rPr>
        <w:instrText>REF _Ref497922628 \r \h</w:instrText>
      </w:r>
      <w:r w:rsidR="00CC5F1E" w:rsidRPr="00CC5F1E">
        <w:rPr>
          <w:rFonts w:ascii="Titillium" w:hAnsi="Titillium" w:cs="Calibri"/>
          <w:sz w:val="18"/>
          <w:szCs w:val="18"/>
        </w:rPr>
        <w:instrText xml:space="preserve"> \* MERGEFORMAT </w:instrText>
      </w:r>
      <w:r w:rsidR="00870286" w:rsidRPr="00CC5F1E">
        <w:rPr>
          <w:rFonts w:ascii="Titillium" w:hAnsi="Titillium" w:cs="Calibri"/>
          <w:sz w:val="18"/>
          <w:szCs w:val="18"/>
        </w:rPr>
      </w:r>
      <w:r w:rsidR="00870286" w:rsidRPr="00CC5F1E">
        <w:rPr>
          <w:rFonts w:ascii="Titillium" w:hAnsi="Titillium" w:cs="Calibri"/>
          <w:sz w:val="18"/>
          <w:szCs w:val="18"/>
        </w:rPr>
        <w:fldChar w:fldCharType="separate"/>
      </w:r>
      <w:r w:rsidR="006F0CBC">
        <w:rPr>
          <w:rFonts w:ascii="Titillium" w:hAnsi="Titillium" w:cs="Calibri"/>
          <w:sz w:val="18"/>
          <w:szCs w:val="18"/>
        </w:rPr>
        <w:t>g)</w:t>
      </w:r>
      <w:r w:rsidR="00870286" w:rsidRPr="00CC5F1E">
        <w:rPr>
          <w:rFonts w:ascii="Titillium" w:hAnsi="Titillium" w:cs="Calibri"/>
          <w:sz w:val="18"/>
          <w:szCs w:val="18"/>
        </w:rPr>
        <w:fldChar w:fldCharType="end"/>
      </w:r>
      <w:r w:rsidR="00870286" w:rsidRPr="00CC5F1E">
        <w:rPr>
          <w:rFonts w:ascii="Titillium" w:hAnsi="Titillium" w:cs="Calibri"/>
          <w:sz w:val="18"/>
          <w:szCs w:val="18"/>
        </w:rPr>
        <w:t xml:space="preserve"> deve</w:t>
      </w:r>
      <w:r w:rsidR="00870286">
        <w:rPr>
          <w:rFonts w:ascii="Titillium" w:hAnsi="Titillium" w:cs="Calibri"/>
          <w:sz w:val="18"/>
          <w:szCs w:val="18"/>
        </w:rPr>
        <w:t xml:space="preserve"> essere posseduto, nell’ipotesi di raggruppamento temporaneo orizzontale sia dalla mandataria sia dalle mandanti. Detto requisito deve essere posseduto in misura maggioritaria dalla mandataria. Nell’ipotesi di raggruppamento temporaneo verticale il requisito deve essere posseduto dalla mandataria. </w:t>
      </w:r>
    </w:p>
    <w:p w14:paraId="5C8ECE04" w14:textId="614D0767" w:rsidR="00B87B2B" w:rsidRDefault="00FB1A7A" w:rsidP="00B87B2B">
      <w:pPr>
        <w:spacing w:before="60" w:after="60"/>
      </w:pPr>
      <w:r>
        <w:rPr>
          <w:rFonts w:ascii="Titillium" w:hAnsi="Titillium" w:cs="Calibri"/>
          <w:b/>
          <w:i/>
          <w:sz w:val="18"/>
          <w:szCs w:val="18"/>
        </w:rPr>
        <w:t>[</w:t>
      </w:r>
      <w:r w:rsidR="00B87B2B">
        <w:rPr>
          <w:rFonts w:ascii="Titillium" w:hAnsi="Titillium" w:cs="Calibri"/>
          <w:b/>
          <w:i/>
          <w:sz w:val="18"/>
          <w:szCs w:val="18"/>
        </w:rPr>
        <w:t>In caso di elenco di servizi/forniture analoghi richiesti</w:t>
      </w:r>
      <w:r w:rsidR="00CC5F1E">
        <w:rPr>
          <w:rFonts w:ascii="Titillium" w:hAnsi="Titillium" w:cs="Calibri"/>
          <w:b/>
          <w:i/>
          <w:sz w:val="18"/>
          <w:szCs w:val="18"/>
        </w:rPr>
        <w:t xml:space="preserve"> in una prestazione secondaria]</w:t>
      </w:r>
      <w:r w:rsidR="00B87B2B">
        <w:rPr>
          <w:rFonts w:ascii="Titillium" w:hAnsi="Titillium" w:cs="Calibri"/>
          <w:b/>
          <w:i/>
          <w:sz w:val="18"/>
          <w:szCs w:val="18"/>
        </w:rPr>
        <w:t xml:space="preserve"> </w:t>
      </w:r>
      <w:r w:rsidR="00B87B2B">
        <w:rPr>
          <w:rFonts w:ascii="Titillium" w:hAnsi="Titillium" w:cs="Calibri"/>
          <w:sz w:val="18"/>
          <w:szCs w:val="18"/>
        </w:rPr>
        <w:t xml:space="preserve">Il requisito </w:t>
      </w:r>
      <w:r w:rsidR="00B87B2B" w:rsidRPr="00CC5F1E">
        <w:rPr>
          <w:rFonts w:ascii="Titillium" w:hAnsi="Titillium" w:cs="Calibri"/>
          <w:sz w:val="18"/>
          <w:szCs w:val="18"/>
        </w:rPr>
        <w:t xml:space="preserve">dell’elenco dei servizi/forniture analoghi per una prestazione secondaria di cui al precedente punto 6.3 lettera </w:t>
      </w:r>
      <w:r w:rsidR="00B87B2B" w:rsidRPr="00CC5F1E">
        <w:rPr>
          <w:rFonts w:ascii="Titillium" w:hAnsi="Titillium" w:cs="Calibri"/>
          <w:sz w:val="18"/>
          <w:szCs w:val="18"/>
        </w:rPr>
        <w:fldChar w:fldCharType="begin"/>
      </w:r>
      <w:r w:rsidR="00B87B2B" w:rsidRPr="00CC5F1E">
        <w:rPr>
          <w:rFonts w:ascii="Titillium" w:hAnsi="Titillium" w:cs="Calibri"/>
          <w:sz w:val="18"/>
          <w:szCs w:val="18"/>
        </w:rPr>
        <w:instrText>REF _Ref497922628 \r \h</w:instrText>
      </w:r>
      <w:r w:rsidR="00CC5F1E" w:rsidRPr="00CC5F1E">
        <w:rPr>
          <w:rFonts w:ascii="Titillium" w:hAnsi="Titillium" w:cs="Calibri"/>
          <w:sz w:val="18"/>
          <w:szCs w:val="18"/>
        </w:rPr>
        <w:instrText xml:space="preserve"> \* MERGEFORMAT </w:instrText>
      </w:r>
      <w:r w:rsidR="00B87B2B" w:rsidRPr="00CC5F1E">
        <w:rPr>
          <w:rFonts w:ascii="Titillium" w:hAnsi="Titillium" w:cs="Calibri"/>
          <w:sz w:val="18"/>
          <w:szCs w:val="18"/>
        </w:rPr>
      </w:r>
      <w:r w:rsidR="00B87B2B" w:rsidRPr="00CC5F1E">
        <w:rPr>
          <w:rFonts w:ascii="Titillium" w:hAnsi="Titillium" w:cs="Calibri"/>
          <w:sz w:val="18"/>
          <w:szCs w:val="18"/>
        </w:rPr>
        <w:fldChar w:fldCharType="separate"/>
      </w:r>
      <w:r w:rsidR="006F0CBC">
        <w:rPr>
          <w:rFonts w:ascii="Titillium" w:hAnsi="Titillium" w:cs="Calibri"/>
          <w:sz w:val="18"/>
          <w:szCs w:val="18"/>
        </w:rPr>
        <w:t>g)</w:t>
      </w:r>
      <w:r w:rsidR="00B87B2B" w:rsidRPr="00CC5F1E">
        <w:rPr>
          <w:rFonts w:ascii="Titillium" w:hAnsi="Titillium" w:cs="Calibri"/>
          <w:sz w:val="18"/>
          <w:szCs w:val="18"/>
        </w:rPr>
        <w:fldChar w:fldCharType="end"/>
      </w:r>
      <w:r w:rsidR="00B87B2B" w:rsidRPr="00CC5F1E">
        <w:rPr>
          <w:rFonts w:ascii="Titillium" w:hAnsi="Titillium" w:cs="Calibri"/>
          <w:sz w:val="18"/>
          <w:szCs w:val="18"/>
        </w:rPr>
        <w:t xml:space="preserve"> deve essere posseduto</w:t>
      </w:r>
      <w:r>
        <w:rPr>
          <w:rFonts w:ascii="Titillium" w:hAnsi="Titillium" w:cs="Calibri"/>
          <w:sz w:val="18"/>
          <w:szCs w:val="18"/>
        </w:rPr>
        <w:t xml:space="preserve">, </w:t>
      </w:r>
      <w:r w:rsidR="00B87B2B">
        <w:rPr>
          <w:rFonts w:ascii="Titillium" w:hAnsi="Titillium" w:cs="Calibri"/>
          <w:sz w:val="18"/>
          <w:szCs w:val="18"/>
        </w:rPr>
        <w:t>dall’operatore economico che esegue la prestazione. Nel raggruppamento misto si applica la regola del raggruppamento verticale e per le singole prestazioni (principale e secondaria) che sono eseguite in raggruppamento di tipo orizzontale si applica la regola prevista per quest’ultimo</w:t>
      </w:r>
      <w:r w:rsidR="003C2657">
        <w:rPr>
          <w:rFonts w:ascii="Titillium" w:hAnsi="Titillium" w:cs="Calibri"/>
          <w:sz w:val="18"/>
          <w:szCs w:val="18"/>
        </w:rPr>
        <w:t>.</w:t>
      </w:r>
    </w:p>
    <w:p w14:paraId="394A35CC" w14:textId="7D2EE3FC" w:rsidR="004C53A8" w:rsidRPr="00AC0147" w:rsidRDefault="00870286">
      <w:pPr>
        <w:spacing w:before="60" w:after="60"/>
        <w:rPr>
          <w:rFonts w:ascii="Titillium" w:hAnsi="Titillium" w:cs="Calibri"/>
          <w:sz w:val="18"/>
          <w:szCs w:val="18"/>
          <w:lang w:eastAsia="it-IT"/>
        </w:rPr>
      </w:pPr>
      <w:r>
        <w:rPr>
          <w:rFonts w:ascii="Titillium" w:hAnsi="Titillium"/>
          <w:b/>
          <w:i/>
          <w:sz w:val="18"/>
          <w:szCs w:val="18"/>
        </w:rPr>
        <w:t xml:space="preserve">[Se previsti ulteriori requisiti di capacità tecnica e professionale di cui al punto </w:t>
      </w:r>
      <w:r>
        <w:rPr>
          <w:rFonts w:ascii="Titillium" w:hAnsi="Titillium"/>
          <w:b/>
          <w:i/>
          <w:sz w:val="18"/>
          <w:szCs w:val="18"/>
        </w:rPr>
        <w:fldChar w:fldCharType="begin"/>
      </w:r>
      <w:r>
        <w:rPr>
          <w:rFonts w:ascii="Titillium" w:hAnsi="Titillium"/>
          <w:b/>
          <w:i/>
          <w:sz w:val="18"/>
          <w:szCs w:val="18"/>
        </w:rPr>
        <w:instrText>REF _Ref495920623 \r \h</w:instrText>
      </w:r>
      <w:r>
        <w:rPr>
          <w:rFonts w:ascii="Titillium" w:hAnsi="Titillium"/>
          <w:b/>
          <w:i/>
          <w:sz w:val="18"/>
          <w:szCs w:val="18"/>
        </w:rPr>
      </w:r>
      <w:r>
        <w:rPr>
          <w:rFonts w:ascii="Titillium" w:hAnsi="Titillium"/>
          <w:b/>
          <w:i/>
          <w:sz w:val="18"/>
          <w:szCs w:val="18"/>
        </w:rPr>
        <w:fldChar w:fldCharType="separate"/>
      </w:r>
      <w:r w:rsidR="006F0CBC">
        <w:rPr>
          <w:rFonts w:ascii="Titillium" w:hAnsi="Titillium"/>
          <w:b/>
          <w:i/>
          <w:sz w:val="18"/>
          <w:szCs w:val="18"/>
        </w:rPr>
        <w:t>6.3</w:t>
      </w:r>
      <w:r>
        <w:rPr>
          <w:rFonts w:ascii="Titillium" w:hAnsi="Titillium"/>
          <w:b/>
          <w:i/>
          <w:sz w:val="18"/>
          <w:szCs w:val="18"/>
        </w:rPr>
        <w:fldChar w:fldCharType="end"/>
      </w:r>
      <w:r>
        <w:rPr>
          <w:rFonts w:ascii="Titillium" w:hAnsi="Titillium"/>
          <w:b/>
          <w:i/>
          <w:sz w:val="18"/>
          <w:szCs w:val="18"/>
        </w:rPr>
        <w:t xml:space="preserve"> lettera da h) a u)</w:t>
      </w:r>
      <w:r w:rsidR="00CC5F1E">
        <w:rPr>
          <w:rFonts w:ascii="Titillium" w:hAnsi="Titillium"/>
          <w:b/>
          <w:i/>
          <w:sz w:val="18"/>
          <w:szCs w:val="18"/>
        </w:rPr>
        <w:t>]</w:t>
      </w:r>
      <w:r>
        <w:rPr>
          <w:rFonts w:ascii="Titillium" w:hAnsi="Titillium" w:cs="Calibri"/>
          <w:sz w:val="18"/>
          <w:szCs w:val="18"/>
          <w:lang w:eastAsia="it-IT"/>
        </w:rPr>
        <w:t xml:space="preserve"> Il requisito relativo a … di cui al precedente punto </w:t>
      </w:r>
      <w:r w:rsidRPr="00CC5F1E">
        <w:rPr>
          <w:rFonts w:ascii="Titillium" w:hAnsi="Titillium" w:cs="Calibri"/>
          <w:sz w:val="18"/>
          <w:szCs w:val="18"/>
        </w:rPr>
        <w:fldChar w:fldCharType="begin"/>
      </w:r>
      <w:r w:rsidRPr="00CC5F1E">
        <w:rPr>
          <w:rFonts w:ascii="Titillium" w:hAnsi="Titillium" w:cs="Calibri"/>
          <w:sz w:val="18"/>
          <w:szCs w:val="18"/>
        </w:rPr>
        <w:instrText>REF _Ref495411584 \r \h</w:instrText>
      </w:r>
      <w:r w:rsid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6F0CBC">
        <w:rPr>
          <w:rFonts w:ascii="Titillium" w:hAnsi="Titillium" w:cs="Calibri"/>
          <w:sz w:val="18"/>
          <w:szCs w:val="18"/>
        </w:rPr>
        <w:t>6.3</w:t>
      </w:r>
      <w:r w:rsidRPr="00CC5F1E">
        <w:rPr>
          <w:rFonts w:ascii="Titillium" w:hAnsi="Titillium" w:cs="Calibri"/>
          <w:sz w:val="18"/>
          <w:szCs w:val="18"/>
        </w:rPr>
        <w:fldChar w:fldCharType="end"/>
      </w:r>
      <w:r w:rsidRPr="00CC5F1E">
        <w:rPr>
          <w:rFonts w:ascii="Titillium" w:hAnsi="Titillium" w:cs="Calibri"/>
          <w:sz w:val="18"/>
          <w:szCs w:val="18"/>
          <w:lang w:eastAsia="it-IT"/>
        </w:rPr>
        <w:t xml:space="preserve"> lettera </w:t>
      </w:r>
      <w:r w:rsidRPr="00CC5F1E">
        <w:rPr>
          <w:rFonts w:ascii="Titillium" w:hAnsi="Titillium" w:cs="Calibri"/>
          <w:i/>
          <w:sz w:val="18"/>
          <w:szCs w:val="18"/>
          <w:lang w:eastAsia="it-IT"/>
        </w:rPr>
        <w:t>[i</w:t>
      </w:r>
      <w:r>
        <w:rPr>
          <w:rFonts w:ascii="Titillium" w:hAnsi="Titillium" w:cs="Calibri"/>
          <w:i/>
          <w:sz w:val="18"/>
          <w:szCs w:val="18"/>
          <w:lang w:eastAsia="it-IT"/>
        </w:rPr>
        <w:t>ndicare i riferimenti degli ulteriori requisiti richiesti]</w:t>
      </w:r>
      <w:r>
        <w:rPr>
          <w:rFonts w:ascii="Titillium" w:hAnsi="Titillium" w:cs="Calibri"/>
          <w:sz w:val="18"/>
          <w:szCs w:val="18"/>
          <w:lang w:eastAsia="it-IT"/>
        </w:rPr>
        <w:t xml:space="preserve"> </w:t>
      </w:r>
      <w:r w:rsidR="00AC0147">
        <w:rPr>
          <w:rFonts w:ascii="Titillium" w:hAnsi="Titillium" w:cs="Calibri"/>
          <w:sz w:val="18"/>
          <w:szCs w:val="18"/>
          <w:lang w:eastAsia="it-IT"/>
        </w:rPr>
        <w:t>deve essere</w:t>
      </w:r>
      <w:r>
        <w:rPr>
          <w:rFonts w:ascii="Titillium" w:hAnsi="Titillium" w:cs="Calibri"/>
          <w:sz w:val="18"/>
          <w:szCs w:val="18"/>
          <w:lang w:eastAsia="it-IT"/>
        </w:rPr>
        <w:t xml:space="preserve"> posseduto da: ...</w:t>
      </w:r>
      <w:r>
        <w:rPr>
          <w:rFonts w:ascii="Titillium" w:hAnsi="Titillium"/>
          <w:sz w:val="18"/>
          <w:szCs w:val="18"/>
        </w:rPr>
        <w:t xml:space="preserve"> </w:t>
      </w:r>
      <w:r>
        <w:rPr>
          <w:rFonts w:ascii="Titillium" w:hAnsi="Titillium"/>
          <w:i/>
          <w:sz w:val="18"/>
          <w:szCs w:val="18"/>
        </w:rPr>
        <w:t>[la stazione appaltante indica quali soggetti devono possedere il requisito].</w:t>
      </w:r>
    </w:p>
    <w:p w14:paraId="3C1DEDDD"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1AB6E4DE" w14:textId="77777777">
        <w:tc>
          <w:tcPr>
            <w:tcW w:w="9210" w:type="dxa"/>
            <w:tcBorders>
              <w:top w:val="single" w:sz="4" w:space="0" w:color="000000"/>
              <w:left w:val="single" w:sz="4" w:space="0" w:color="000000"/>
              <w:bottom w:val="single" w:sz="4" w:space="0" w:color="000000"/>
              <w:right w:val="single" w:sz="4" w:space="0" w:color="000000"/>
            </w:tcBorders>
          </w:tcPr>
          <w:p w14:paraId="69CDE429" w14:textId="6CA95EDC" w:rsidR="004C53A8" w:rsidRPr="00CC5F1E" w:rsidRDefault="00870286" w:rsidP="00955636">
            <w:pPr>
              <w:spacing w:before="60" w:after="60"/>
            </w:pPr>
            <w:r>
              <w:rPr>
                <w:rFonts w:ascii="Titillium" w:hAnsi="Titillium" w:cs="Calibri"/>
                <w:i/>
                <w:sz w:val="18"/>
                <w:szCs w:val="18"/>
                <w:lang w:eastAsia="it-IT"/>
              </w:rPr>
              <w:t xml:space="preserve">N.B. La stazione appaltante può indicare la misura in cui i requisiti debbono essere posseduti da ciascun operatore economico, che partecipa </w:t>
            </w:r>
            <w:r w:rsidR="0016603A">
              <w:rPr>
                <w:rFonts w:ascii="Titillium" w:hAnsi="Titillium" w:cs="Calibri"/>
                <w:i/>
                <w:sz w:val="18"/>
                <w:szCs w:val="18"/>
                <w:lang w:eastAsia="it-IT"/>
              </w:rPr>
              <w:t>al raggruppamento</w:t>
            </w:r>
            <w:r>
              <w:rPr>
                <w:rFonts w:ascii="Titillium" w:hAnsi="Titillium" w:cs="Calibri"/>
                <w:i/>
                <w:sz w:val="18"/>
                <w:szCs w:val="18"/>
                <w:lang w:eastAsia="it-IT"/>
              </w:rPr>
              <w:t xml:space="preserve"> temporane</w:t>
            </w:r>
            <w:r w:rsidR="003C2657">
              <w:rPr>
                <w:rFonts w:ascii="Titillium" w:hAnsi="Titillium" w:cs="Calibri"/>
                <w:i/>
                <w:sz w:val="18"/>
                <w:szCs w:val="18"/>
                <w:lang w:eastAsia="it-IT"/>
              </w:rPr>
              <w:t>o</w:t>
            </w:r>
            <w:r>
              <w:rPr>
                <w:rFonts w:ascii="Titillium" w:hAnsi="Titillium" w:cs="Calibri"/>
                <w:i/>
                <w:sz w:val="18"/>
                <w:szCs w:val="18"/>
                <w:lang w:eastAsia="it-IT"/>
              </w:rPr>
              <w:t xml:space="preserve">. In ogni caso occorre che la </w:t>
            </w:r>
            <w:r w:rsidR="0016603A">
              <w:rPr>
                <w:rFonts w:ascii="Titillium" w:hAnsi="Titillium" w:cs="Calibri"/>
                <w:i/>
                <w:sz w:val="18"/>
                <w:szCs w:val="18"/>
                <w:lang w:eastAsia="it-IT"/>
              </w:rPr>
              <w:t xml:space="preserve">mandataria </w:t>
            </w:r>
            <w:r w:rsidR="0016603A">
              <w:rPr>
                <w:rFonts w:ascii="Titillium" w:hAnsi="Titillium" w:cs="Courier New"/>
                <w:i/>
                <w:sz w:val="18"/>
                <w:szCs w:val="18"/>
              </w:rPr>
              <w:t>possegga</w:t>
            </w:r>
            <w:r>
              <w:rPr>
                <w:rFonts w:ascii="Titillium" w:hAnsi="Titillium" w:cs="Courier New"/>
                <w:i/>
                <w:sz w:val="18"/>
                <w:szCs w:val="18"/>
              </w:rPr>
              <w:t xml:space="preserve"> i requisiti ed esegua le prestazioni </w:t>
            </w:r>
            <w:r w:rsidRPr="0016603A">
              <w:rPr>
                <w:rFonts w:ascii="Titillium" w:hAnsi="Titillium" w:cs="Courier New"/>
                <w:i/>
                <w:sz w:val="18"/>
                <w:szCs w:val="18"/>
              </w:rPr>
              <w:t xml:space="preserve">in </w:t>
            </w:r>
            <w:r w:rsidRPr="00CC5F1E">
              <w:rPr>
                <w:rFonts w:ascii="Titillium" w:hAnsi="Titillium" w:cs="Courier New"/>
                <w:i/>
                <w:sz w:val="18"/>
                <w:szCs w:val="18"/>
              </w:rPr>
              <w:t>misura maggioritaria</w:t>
            </w:r>
            <w:r w:rsidRPr="0016603A">
              <w:rPr>
                <w:rFonts w:ascii="Titillium" w:hAnsi="Titillium" w:cs="Courier New"/>
                <w:i/>
                <w:sz w:val="18"/>
                <w:szCs w:val="18"/>
              </w:rPr>
              <w:t xml:space="preserve"> ai</w:t>
            </w:r>
            <w:r>
              <w:rPr>
                <w:rFonts w:ascii="Titillium" w:hAnsi="Titillium" w:cs="Courier New"/>
                <w:i/>
                <w:sz w:val="18"/>
                <w:szCs w:val="18"/>
              </w:rPr>
              <w:t xml:space="preserve"> sensi dell’articolo 83, comma 8 del Codice.</w:t>
            </w:r>
          </w:p>
        </w:tc>
      </w:tr>
    </w:tbl>
    <w:p w14:paraId="7576E8AB" w14:textId="77777777" w:rsidR="004C53A8" w:rsidRDefault="004C53A8">
      <w:pPr>
        <w:spacing w:before="60" w:after="60"/>
        <w:rPr>
          <w:rFonts w:ascii="Titillium" w:hAnsi="Titillium" w:cs="Calibri"/>
          <w:sz w:val="18"/>
          <w:szCs w:val="18"/>
        </w:rPr>
      </w:pPr>
    </w:p>
    <w:p w14:paraId="6DC8E805" w14:textId="40F55119" w:rsidR="004C53A8" w:rsidRDefault="004C667D">
      <w:pPr>
        <w:pStyle w:val="Titolo3"/>
        <w:numPr>
          <w:ilvl w:val="1"/>
          <w:numId w:val="4"/>
        </w:numPr>
        <w:ind w:left="426" w:hanging="426"/>
      </w:pPr>
      <w:bookmarkStart w:id="1699" w:name="_Toc497728151"/>
      <w:bookmarkStart w:id="1700" w:name="_Toc497484953"/>
      <w:bookmarkStart w:id="1701" w:name="_Toc494359032"/>
      <w:bookmarkStart w:id="1702" w:name="_Toc494358983"/>
      <w:bookmarkStart w:id="1703" w:name="_Toc498419744"/>
      <w:bookmarkStart w:id="1704" w:name="_Toc497831546"/>
      <w:bookmarkStart w:id="1705" w:name="_Ref496007652"/>
      <w:bookmarkStart w:id="1706" w:name="_Ref496007650"/>
      <w:bookmarkStart w:id="1707" w:name="_Toc95495892"/>
      <w:bookmarkEnd w:id="1699"/>
      <w:bookmarkEnd w:id="1700"/>
      <w:bookmarkEnd w:id="1701"/>
      <w:bookmarkEnd w:id="1702"/>
      <w:bookmarkEnd w:id="1703"/>
      <w:bookmarkEnd w:id="1704"/>
      <w:r>
        <w:rPr>
          <w:rFonts w:ascii="Titillium" w:hAnsi="Titillium"/>
          <w:caps w:val="0"/>
          <w:sz w:val="18"/>
          <w:szCs w:val="18"/>
          <w:lang w:val="it-IT"/>
        </w:rPr>
        <w:t xml:space="preserve">INDICAZIONI PER I </w:t>
      </w:r>
      <w:r>
        <w:rPr>
          <w:rFonts w:ascii="Titillium" w:hAnsi="Titillium"/>
          <w:caps w:val="0"/>
          <w:sz w:val="18"/>
          <w:szCs w:val="18"/>
        </w:rPr>
        <w:t xml:space="preserve">CONSORZI DI COOPERATIVE E </w:t>
      </w:r>
      <w:r>
        <w:rPr>
          <w:rFonts w:ascii="Titillium" w:hAnsi="Titillium"/>
          <w:caps w:val="0"/>
          <w:sz w:val="18"/>
          <w:szCs w:val="18"/>
          <w:lang w:val="it-IT"/>
        </w:rPr>
        <w:t xml:space="preserve">DI </w:t>
      </w:r>
      <w:r>
        <w:rPr>
          <w:rFonts w:ascii="Titillium" w:hAnsi="Titillium"/>
          <w:caps w:val="0"/>
          <w:sz w:val="18"/>
          <w:szCs w:val="18"/>
        </w:rPr>
        <w:t>IMPRESE ARTIGIANE E I CONSORZI STABILI</w:t>
      </w:r>
      <w:bookmarkEnd w:id="1705"/>
      <w:bookmarkEnd w:id="1706"/>
      <w:bookmarkEnd w:id="1707"/>
      <w:r>
        <w:rPr>
          <w:rFonts w:ascii="Titillium" w:hAnsi="Titillium"/>
          <w:caps w:val="0"/>
          <w:sz w:val="18"/>
          <w:szCs w:val="18"/>
        </w:rPr>
        <w:t xml:space="preserve"> </w:t>
      </w:r>
    </w:p>
    <w:p w14:paraId="4F7A0A6A" w14:textId="77777777" w:rsidR="004C53A8" w:rsidRDefault="00870286">
      <w:pPr>
        <w:spacing w:before="60" w:after="60"/>
        <w:rPr>
          <w:rFonts w:ascii="Titillium" w:hAnsi="Titillium" w:cs="Calibri"/>
          <w:sz w:val="18"/>
          <w:szCs w:val="18"/>
        </w:rPr>
      </w:pPr>
      <w:r>
        <w:rPr>
          <w:rFonts w:ascii="Titillium" w:hAnsi="Titillium" w:cs="Calibri"/>
          <w:sz w:val="18"/>
          <w:szCs w:val="18"/>
        </w:rPr>
        <w:t>I soggetti di cui all’articolo 45 comma 2, lettere b) e c) del Codice devono possedere i requisiti di partecipazione nei termini di seguito indicati.</w:t>
      </w:r>
    </w:p>
    <w:p w14:paraId="17EE756D" w14:textId="4713CA9B" w:rsidR="004C53A8" w:rsidRDefault="00870286">
      <w:pPr>
        <w:spacing w:before="60" w:after="60"/>
      </w:pPr>
      <w:r w:rsidRPr="00CC5F1E">
        <w:rPr>
          <w:rFonts w:ascii="Titillium" w:hAnsi="Titillium" w:cs="Calibri"/>
          <w:sz w:val="18"/>
          <w:szCs w:val="18"/>
        </w:rPr>
        <w:t xml:space="preserve">Il requisito relativo all’iscrizione </w:t>
      </w:r>
      <w:r w:rsidRPr="00CC5F1E">
        <w:rPr>
          <w:rFonts w:ascii="Titillium" w:hAnsi="Titillium" w:cs="Arial"/>
          <w:sz w:val="18"/>
          <w:szCs w:val="18"/>
        </w:rPr>
        <w:t xml:space="preserve">nel </w:t>
      </w:r>
      <w:r w:rsidRPr="00CC5F1E">
        <w:rPr>
          <w:rFonts w:ascii="Titillium" w:hAnsi="Titillium" w:cs="Calibri"/>
          <w:sz w:val="18"/>
          <w:szCs w:val="18"/>
        </w:rPr>
        <w:t xml:space="preserve">Registro delle Imprese oppure nell’Albo delle Imprese artigiane di cui al punto </w:t>
      </w:r>
      <w:r w:rsidR="00F555F9" w:rsidRPr="00CC5F1E">
        <w:rPr>
          <w:rFonts w:ascii="Titillium" w:hAnsi="Titillium" w:cs="Calibri"/>
          <w:sz w:val="18"/>
          <w:szCs w:val="18"/>
        </w:rPr>
        <w:t>6</w:t>
      </w:r>
      <w:r w:rsidRPr="00CC5F1E">
        <w:rPr>
          <w:rFonts w:ascii="Titillium" w:hAnsi="Titillium" w:cs="Calibri"/>
          <w:sz w:val="18"/>
          <w:szCs w:val="18"/>
        </w:rPr>
        <w:t xml:space="preserve">.1. lettera </w:t>
      </w:r>
      <w:r w:rsidRPr="00CC5F1E">
        <w:rPr>
          <w:rFonts w:ascii="Titillium" w:hAnsi="Titillium" w:cs="Calibri"/>
          <w:sz w:val="18"/>
          <w:szCs w:val="18"/>
        </w:rPr>
        <w:fldChar w:fldCharType="begin"/>
      </w:r>
      <w:r w:rsidRPr="00CC5F1E">
        <w:rPr>
          <w:rFonts w:ascii="Titillium" w:hAnsi="Titillium" w:cs="Calibri"/>
          <w:sz w:val="18"/>
          <w:szCs w:val="18"/>
        </w:rPr>
        <w:instrText>REF _Ref495411492 \r \h</w:instrText>
      </w:r>
      <w:r w:rsidR="00CC5F1E" w:rsidRP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6F0CBC">
        <w:rPr>
          <w:rFonts w:ascii="Titillium" w:hAnsi="Titillium" w:cs="Calibri"/>
          <w:sz w:val="18"/>
          <w:szCs w:val="18"/>
        </w:rPr>
        <w:t>a)</w:t>
      </w:r>
      <w:r w:rsidRPr="00CC5F1E">
        <w:rPr>
          <w:rFonts w:ascii="Titillium" w:hAnsi="Titillium" w:cs="Calibri"/>
          <w:sz w:val="18"/>
          <w:szCs w:val="18"/>
        </w:rPr>
        <w:fldChar w:fldCharType="end"/>
      </w:r>
      <w:r w:rsidRPr="00CC5F1E">
        <w:rPr>
          <w:rFonts w:ascii="Titillium" w:hAnsi="Titillium" w:cs="Calibri"/>
          <w:sz w:val="18"/>
          <w:szCs w:val="18"/>
        </w:rPr>
        <w:t xml:space="preserve"> deve essere posseduto dal consorzio e dai consorziati indicati</w:t>
      </w:r>
      <w:r>
        <w:rPr>
          <w:rFonts w:ascii="Titillium" w:hAnsi="Titillium" w:cs="Calibri"/>
          <w:sz w:val="18"/>
          <w:szCs w:val="18"/>
        </w:rPr>
        <w:t xml:space="preserve"> come esecutori.</w:t>
      </w:r>
    </w:p>
    <w:p w14:paraId="321BA62C" w14:textId="6DEA0FA7" w:rsidR="004C53A8" w:rsidRPr="001918F9" w:rsidRDefault="00870286">
      <w:pPr>
        <w:spacing w:before="60" w:after="60"/>
      </w:pPr>
      <w:r>
        <w:rPr>
          <w:rFonts w:ascii="Titillium" w:hAnsi="Titillium"/>
          <w:b/>
          <w:i/>
          <w:sz w:val="18"/>
          <w:szCs w:val="18"/>
        </w:rPr>
        <w:t>[Se richiesti altri requisiti di idoneità]</w:t>
      </w:r>
      <w:r>
        <w:rPr>
          <w:rFonts w:ascii="Titillium" w:hAnsi="Titillium"/>
          <w:b/>
          <w:sz w:val="18"/>
          <w:szCs w:val="18"/>
        </w:rPr>
        <w:t xml:space="preserve"> </w:t>
      </w:r>
      <w:r>
        <w:rPr>
          <w:rFonts w:ascii="Titillium" w:hAnsi="Titillium" w:cs="Calibri"/>
          <w:sz w:val="18"/>
          <w:szCs w:val="18"/>
        </w:rPr>
        <w:t xml:space="preserve">Il requisito relativo all’iscrizione … [indicare tipologia di iscrizione richiesta] di </w:t>
      </w:r>
      <w:r w:rsidRPr="00CC5F1E">
        <w:rPr>
          <w:rFonts w:ascii="Titillium" w:hAnsi="Titillium" w:cs="Calibri"/>
          <w:sz w:val="18"/>
          <w:szCs w:val="18"/>
        </w:rPr>
        <w:t xml:space="preserve">cui al punto </w:t>
      </w:r>
      <w:r w:rsidR="00F555F9" w:rsidRPr="001918F9">
        <w:rPr>
          <w:rFonts w:ascii="Titillium" w:hAnsi="Titillium" w:cs="Calibri"/>
          <w:sz w:val="18"/>
          <w:szCs w:val="18"/>
        </w:rPr>
        <w:t>6</w:t>
      </w:r>
      <w:r w:rsidRPr="001918F9">
        <w:rPr>
          <w:rFonts w:ascii="Titillium" w:hAnsi="Titillium" w:cs="Calibri"/>
          <w:sz w:val="18"/>
          <w:szCs w:val="18"/>
        </w:rPr>
        <w:t>.1 lettera b</w:t>
      </w:r>
      <w:r w:rsidR="00F555F9" w:rsidRPr="001918F9">
        <w:rPr>
          <w:rFonts w:ascii="Titillium" w:hAnsi="Titillium" w:cs="Calibri"/>
          <w:sz w:val="18"/>
          <w:szCs w:val="18"/>
        </w:rPr>
        <w:t>)</w:t>
      </w:r>
      <w:r w:rsidRPr="001918F9">
        <w:rPr>
          <w:rFonts w:ascii="Titillium" w:hAnsi="Titillium" w:cs="Calibri"/>
          <w:sz w:val="18"/>
          <w:szCs w:val="18"/>
        </w:rPr>
        <w:t xml:space="preserve"> deve essere posseduto da ... [indicare quali soggetti devono possedere il requisito].</w:t>
      </w:r>
    </w:p>
    <w:p w14:paraId="69C2BC13" w14:textId="39EDF85A" w:rsidR="004C53A8" w:rsidRPr="001918F9" w:rsidRDefault="00870286">
      <w:pPr>
        <w:spacing w:before="60" w:after="60"/>
      </w:pPr>
      <w:r w:rsidRPr="001918F9">
        <w:rPr>
          <w:rFonts w:ascii="Titillium" w:hAnsi="Titillium" w:cs="Calibri"/>
          <w:b/>
          <w:i/>
          <w:sz w:val="18"/>
          <w:szCs w:val="18"/>
        </w:rPr>
        <w:t xml:space="preserve">[Se richiesti requisiti di capacità economica e finanziaria/tecnica e professionale di cui ai punti </w:t>
      </w:r>
      <w:r w:rsidR="00F555F9" w:rsidRPr="001918F9">
        <w:rPr>
          <w:rFonts w:ascii="Titillium" w:hAnsi="Titillium" w:cs="Calibri"/>
          <w:b/>
          <w:i/>
          <w:sz w:val="18"/>
          <w:szCs w:val="18"/>
        </w:rPr>
        <w:t>6.2</w:t>
      </w:r>
      <w:r w:rsidRPr="001918F9">
        <w:rPr>
          <w:rFonts w:ascii="Titillium" w:hAnsi="Titillium" w:cs="Calibri"/>
          <w:b/>
          <w:i/>
          <w:sz w:val="18"/>
          <w:szCs w:val="18"/>
        </w:rPr>
        <w:t xml:space="preserve"> e</w:t>
      </w:r>
      <w:r w:rsidR="00F555F9" w:rsidRPr="001918F9">
        <w:rPr>
          <w:rFonts w:ascii="Titillium" w:hAnsi="Titillium" w:cs="Calibri"/>
          <w:b/>
          <w:i/>
          <w:sz w:val="18"/>
          <w:szCs w:val="18"/>
        </w:rPr>
        <w:t xml:space="preserve"> 6.3</w:t>
      </w:r>
      <w:r w:rsidRPr="001918F9">
        <w:rPr>
          <w:rFonts w:ascii="Titillium" w:hAnsi="Titillium" w:cs="Calibri"/>
          <w:b/>
          <w:i/>
          <w:sz w:val="18"/>
          <w:szCs w:val="18"/>
        </w:rPr>
        <w:t xml:space="preserve">] </w:t>
      </w:r>
      <w:r w:rsidRPr="001918F9">
        <w:rPr>
          <w:rFonts w:ascii="Titillium" w:hAnsi="Titillium" w:cs="Calibri"/>
          <w:sz w:val="18"/>
          <w:szCs w:val="18"/>
        </w:rPr>
        <w:t>I requisiti di capacità economica e finanziaria nonché tecnica e professionale, devono essere posseduti:</w:t>
      </w:r>
    </w:p>
    <w:p w14:paraId="675EC9D3" w14:textId="455DBF35" w:rsidR="00121698" w:rsidRDefault="00870286" w:rsidP="00121698">
      <w:pPr>
        <w:pStyle w:val="Paragrafoelenco"/>
        <w:numPr>
          <w:ilvl w:val="0"/>
          <w:numId w:val="17"/>
        </w:numPr>
        <w:spacing w:before="60" w:after="60"/>
        <w:ind w:left="284" w:hanging="284"/>
        <w:rPr>
          <w:rFonts w:ascii="Titillium" w:eastAsia="Times New Roman" w:hAnsi="Titillium" w:cs="Calibri"/>
          <w:sz w:val="18"/>
          <w:szCs w:val="18"/>
          <w:lang w:eastAsia="en-US"/>
        </w:rPr>
      </w:pPr>
      <w:r w:rsidRPr="001918F9">
        <w:rPr>
          <w:rFonts w:ascii="Titillium" w:eastAsia="Times New Roman" w:hAnsi="Titillium" w:cs="Calibri"/>
          <w:sz w:val="18"/>
          <w:szCs w:val="18"/>
          <w:lang w:eastAsia="en-US"/>
        </w:rPr>
        <w:t>per i consorzi di cui all’art</w:t>
      </w:r>
      <w:r w:rsidR="001918F9" w:rsidRPr="001918F9">
        <w:rPr>
          <w:rFonts w:ascii="Titillium" w:eastAsia="Times New Roman" w:hAnsi="Titillium" w:cs="Calibri"/>
          <w:sz w:val="18"/>
          <w:szCs w:val="18"/>
          <w:lang w:eastAsia="en-US"/>
        </w:rPr>
        <w:t>icolo</w:t>
      </w:r>
      <w:r w:rsidRPr="001918F9">
        <w:rPr>
          <w:rFonts w:ascii="Titillium" w:eastAsia="Times New Roman" w:hAnsi="Titillium" w:cs="Calibri"/>
          <w:sz w:val="18"/>
          <w:szCs w:val="18"/>
          <w:lang w:eastAsia="en-US"/>
        </w:rPr>
        <w:t xml:space="preserve"> 45, comma 2</w:t>
      </w:r>
      <w:r w:rsidR="00685F45">
        <w:rPr>
          <w:rFonts w:ascii="Titillium" w:eastAsia="Times New Roman" w:hAnsi="Titillium" w:cs="Calibri"/>
          <w:sz w:val="18"/>
          <w:szCs w:val="18"/>
          <w:lang w:eastAsia="en-US"/>
        </w:rPr>
        <w:t>,</w:t>
      </w:r>
      <w:r w:rsidRPr="001918F9">
        <w:rPr>
          <w:rFonts w:ascii="Titillium" w:eastAsia="Times New Roman" w:hAnsi="Titillium" w:cs="Calibri"/>
          <w:sz w:val="18"/>
          <w:szCs w:val="18"/>
          <w:lang w:eastAsia="en-US"/>
        </w:rPr>
        <w:t xml:space="preserve"> lett</w:t>
      </w:r>
      <w:r w:rsidR="001918F9" w:rsidRPr="001918F9">
        <w:rPr>
          <w:rFonts w:ascii="Titillium" w:eastAsia="Times New Roman" w:hAnsi="Titillium" w:cs="Calibri"/>
          <w:sz w:val="18"/>
          <w:szCs w:val="18"/>
          <w:lang w:eastAsia="en-US"/>
        </w:rPr>
        <w:t>era</w:t>
      </w:r>
      <w:r w:rsidRPr="001918F9">
        <w:rPr>
          <w:rFonts w:ascii="Titillium" w:eastAsia="Times New Roman" w:hAnsi="Titillium" w:cs="Calibri"/>
          <w:sz w:val="18"/>
          <w:szCs w:val="18"/>
          <w:lang w:eastAsia="en-US"/>
        </w:rPr>
        <w:t xml:space="preserve"> b) del Codice, direttamente dal consorzio medesimo, salvo che quelli relativi alla disponibilità delle attrezzature e dei mezzi d’opera nonché all’organico medio annuo che sono computati</w:t>
      </w:r>
      <w:r w:rsidR="00284063" w:rsidRPr="001918F9">
        <w:rPr>
          <w:rFonts w:ascii="Titillium" w:eastAsia="Times New Roman" w:hAnsi="Titillium" w:cs="Calibri"/>
          <w:sz w:val="18"/>
          <w:szCs w:val="18"/>
          <w:lang w:eastAsia="en-US"/>
        </w:rPr>
        <w:t xml:space="preserve"> cumulativamente</w:t>
      </w:r>
      <w:r w:rsidRPr="001918F9">
        <w:rPr>
          <w:rFonts w:ascii="Titillium" w:eastAsia="Times New Roman" w:hAnsi="Titillium" w:cs="Calibri"/>
          <w:sz w:val="18"/>
          <w:szCs w:val="18"/>
          <w:lang w:eastAsia="en-US"/>
        </w:rPr>
        <w:t xml:space="preserve"> in capo al consorzio ancorché posseduti dalle singole imprese consorziate; </w:t>
      </w:r>
    </w:p>
    <w:p w14:paraId="5B084202" w14:textId="7642D583" w:rsidR="004C53A8" w:rsidRPr="007F7B02" w:rsidRDefault="004F6DC8" w:rsidP="004F6DC8">
      <w:pPr>
        <w:pStyle w:val="Paragrafoelenco"/>
        <w:numPr>
          <w:ilvl w:val="0"/>
          <w:numId w:val="17"/>
        </w:numPr>
        <w:spacing w:before="60" w:after="60"/>
        <w:rPr>
          <w:rFonts w:ascii="Titillium" w:eastAsia="Times New Roman" w:hAnsi="Titillium" w:cs="Calibri"/>
          <w:sz w:val="18"/>
          <w:szCs w:val="18"/>
          <w:lang w:eastAsia="en-US"/>
        </w:rPr>
      </w:pPr>
      <w:r w:rsidRPr="007F7B02">
        <w:rPr>
          <w:rFonts w:ascii="Titillium" w:eastAsia="Times New Roman" w:hAnsi="Titillium" w:cs="Calibri"/>
          <w:sz w:val="18"/>
          <w:szCs w:val="18"/>
          <w:lang w:eastAsia="en-US"/>
        </w:rPr>
        <w:t>per i consorzi di cui all’</w:t>
      </w:r>
      <w:r w:rsidR="00895365">
        <w:rPr>
          <w:rFonts w:ascii="Titillium" w:eastAsia="Times New Roman" w:hAnsi="Titillium" w:cs="Calibri"/>
          <w:sz w:val="18"/>
          <w:szCs w:val="18"/>
          <w:lang w:eastAsia="en-US"/>
        </w:rPr>
        <w:t xml:space="preserve">articolo </w:t>
      </w:r>
      <w:r w:rsidRPr="007F7B02">
        <w:rPr>
          <w:rFonts w:ascii="Titillium" w:eastAsia="Times New Roman" w:hAnsi="Titillium" w:cs="Calibri"/>
          <w:sz w:val="18"/>
          <w:szCs w:val="18"/>
          <w:lang w:eastAsia="en-US"/>
        </w:rPr>
        <w:t>45, comma 2, lett. c) del Codice, dal consorzio, che può spendere, oltre ai propri requisiti, anche quelli delle consorziate i quali vengono computati cumulativamente in capo al consorzio.</w:t>
      </w:r>
    </w:p>
    <w:p w14:paraId="322D17EE" w14:textId="3ACD7813" w:rsidR="004C53A8" w:rsidRDefault="00870286" w:rsidP="004C38E0">
      <w:pPr>
        <w:pStyle w:val="Paragrafoelenco"/>
        <w:spacing w:before="60" w:after="60"/>
        <w:ind w:left="284" w:hanging="284"/>
        <w:rPr>
          <w:rFonts w:ascii="Titillium" w:hAnsi="Titillium"/>
          <w:sz w:val="18"/>
          <w:szCs w:val="18"/>
        </w:rPr>
      </w:pPr>
      <w:r>
        <w:rPr>
          <w:rFonts w:ascii="Titillium" w:hAnsi="Titillium"/>
          <w:b/>
          <w:bCs/>
          <w:i/>
          <w:iCs/>
          <w:sz w:val="18"/>
          <w:szCs w:val="18"/>
        </w:rPr>
        <w:t>[Facoltativo</w:t>
      </w:r>
      <w:r w:rsidR="00576969">
        <w:rPr>
          <w:rFonts w:ascii="Titillium" w:hAnsi="Titillium"/>
          <w:b/>
          <w:bCs/>
          <w:i/>
          <w:iCs/>
          <w:sz w:val="18"/>
          <w:szCs w:val="18"/>
        </w:rPr>
        <w:t xml:space="preserve"> se richieste una o più certificazioni di cui all’articolo 87 del Codice</w:t>
      </w:r>
      <w:r>
        <w:rPr>
          <w:rFonts w:ascii="Titillium" w:hAnsi="Titillium"/>
          <w:b/>
          <w:bCs/>
          <w:i/>
          <w:iCs/>
          <w:sz w:val="18"/>
          <w:szCs w:val="18"/>
        </w:rPr>
        <w:t>]</w:t>
      </w:r>
      <w:r>
        <w:rPr>
          <w:rFonts w:ascii="Titillium" w:hAnsi="Titillium"/>
          <w:sz w:val="18"/>
          <w:szCs w:val="18"/>
        </w:rPr>
        <w:t xml:space="preserve"> I requisiti relativi … [</w:t>
      </w:r>
      <w:r w:rsidRPr="00F555F9">
        <w:rPr>
          <w:rFonts w:ascii="Titillium" w:hAnsi="Titillium"/>
          <w:i/>
          <w:iCs/>
          <w:sz w:val="18"/>
          <w:szCs w:val="18"/>
        </w:rPr>
        <w:t>indicare le certificazioni richieste</w:t>
      </w:r>
      <w:r>
        <w:rPr>
          <w:rFonts w:ascii="Titillium" w:hAnsi="Titillium"/>
          <w:sz w:val="18"/>
          <w:szCs w:val="18"/>
        </w:rPr>
        <w:t>] sono attestati e verificati in relazione</w:t>
      </w:r>
      <w:r w:rsidR="00F555F9">
        <w:rPr>
          <w:rFonts w:ascii="Titillium" w:hAnsi="Titillium"/>
          <w:sz w:val="18"/>
          <w:szCs w:val="18"/>
        </w:rPr>
        <w:t>:</w:t>
      </w:r>
      <w:r w:rsidR="009B6C63">
        <w:rPr>
          <w:rFonts w:ascii="Titillium" w:hAnsi="Titillium"/>
          <w:sz w:val="18"/>
          <w:szCs w:val="18"/>
        </w:rPr>
        <w:t xml:space="preserve"> </w:t>
      </w:r>
    </w:p>
    <w:p w14:paraId="70BBCFB6" w14:textId="6C28A927"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al c</w:t>
      </w:r>
      <w:r w:rsidR="009B6C63" w:rsidRPr="009B6C63">
        <w:rPr>
          <w:rFonts w:ascii="Titillium" w:hAnsi="Titillium"/>
          <w:bCs/>
          <w:iCs/>
          <w:sz w:val="18"/>
          <w:szCs w:val="18"/>
        </w:rPr>
        <w:t xml:space="preserve">onsorzio </w:t>
      </w:r>
      <w:r>
        <w:rPr>
          <w:rFonts w:ascii="Titillium" w:hAnsi="Titillium"/>
          <w:bCs/>
          <w:iCs/>
          <w:sz w:val="18"/>
          <w:szCs w:val="18"/>
        </w:rPr>
        <w:t xml:space="preserve">e alle singole imprese consorziate indicate quali esecutrici; </w:t>
      </w:r>
    </w:p>
    <w:p w14:paraId="701C5F77" w14:textId="29E9C2B3"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a</w:t>
      </w:r>
      <w:r w:rsidR="009B6C63" w:rsidRPr="009B6C63">
        <w:rPr>
          <w:rFonts w:ascii="Titillium" w:hAnsi="Titillium"/>
          <w:bCs/>
          <w:iCs/>
          <w:sz w:val="18"/>
          <w:szCs w:val="18"/>
        </w:rPr>
        <w:t xml:space="preserve">l solo </w:t>
      </w:r>
      <w:r>
        <w:rPr>
          <w:rFonts w:ascii="Titillium" w:hAnsi="Titillium"/>
          <w:bCs/>
          <w:iCs/>
          <w:sz w:val="18"/>
          <w:szCs w:val="18"/>
        </w:rPr>
        <w:t>c</w:t>
      </w:r>
      <w:r w:rsidR="009B6C63" w:rsidRPr="009B6C63">
        <w:rPr>
          <w:rFonts w:ascii="Titillium" w:hAnsi="Titillium"/>
          <w:bCs/>
          <w:iCs/>
          <w:sz w:val="18"/>
          <w:szCs w:val="18"/>
        </w:rPr>
        <w:t xml:space="preserve">onsorzio </w:t>
      </w:r>
      <w:r>
        <w:rPr>
          <w:rFonts w:ascii="Titillium" w:hAnsi="Titillium"/>
          <w:bCs/>
          <w:iCs/>
          <w:sz w:val="18"/>
          <w:szCs w:val="18"/>
        </w:rPr>
        <w:t>il cui ambito</w:t>
      </w:r>
      <w:r w:rsidR="009B6C63" w:rsidRPr="00576969">
        <w:rPr>
          <w:rFonts w:ascii="Titillium" w:hAnsi="Titillium"/>
          <w:bCs/>
          <w:iCs/>
          <w:sz w:val="18"/>
          <w:szCs w:val="18"/>
        </w:rPr>
        <w:t xml:space="preserve"> di certificazione del sistema gestionale include la verifica </w:t>
      </w:r>
      <w:r>
        <w:rPr>
          <w:rFonts w:ascii="Titillium" w:hAnsi="Titillium"/>
          <w:bCs/>
          <w:iCs/>
          <w:sz w:val="18"/>
          <w:szCs w:val="18"/>
        </w:rPr>
        <w:t>che</w:t>
      </w:r>
      <w:r w:rsidR="009B6C63" w:rsidRPr="00576969">
        <w:rPr>
          <w:rFonts w:ascii="Titillium" w:hAnsi="Titillium"/>
          <w:bCs/>
          <w:iCs/>
          <w:sz w:val="18"/>
          <w:szCs w:val="18"/>
        </w:rPr>
        <w:t xml:space="preserve"> l’erogazione dei servizi</w:t>
      </w:r>
      <w:r>
        <w:rPr>
          <w:rFonts w:ascii="Titillium" w:hAnsi="Titillium"/>
          <w:bCs/>
          <w:iCs/>
          <w:sz w:val="18"/>
          <w:szCs w:val="18"/>
        </w:rPr>
        <w:t xml:space="preserve"> o delle forniture</w:t>
      </w:r>
      <w:r w:rsidR="009B6C63" w:rsidRPr="00576969">
        <w:rPr>
          <w:rFonts w:ascii="Titillium" w:hAnsi="Titillium"/>
          <w:bCs/>
          <w:iCs/>
          <w:sz w:val="18"/>
          <w:szCs w:val="18"/>
        </w:rPr>
        <w:t xml:space="preserve"> da parte del</w:t>
      </w:r>
      <w:r>
        <w:rPr>
          <w:rFonts w:ascii="Titillium" w:hAnsi="Titillium"/>
          <w:bCs/>
          <w:iCs/>
          <w:sz w:val="18"/>
          <w:szCs w:val="18"/>
        </w:rPr>
        <w:t xml:space="preserve">le imprese consorziate indicate quali esecutrici </w:t>
      </w:r>
      <w:r w:rsidR="009B6C63" w:rsidRPr="00576969">
        <w:rPr>
          <w:rFonts w:ascii="Titillium" w:hAnsi="Titillium"/>
          <w:bCs/>
          <w:iCs/>
          <w:sz w:val="18"/>
          <w:szCs w:val="18"/>
        </w:rPr>
        <w:t>rispetti</w:t>
      </w:r>
      <w:r>
        <w:rPr>
          <w:rFonts w:ascii="Titillium" w:hAnsi="Titillium"/>
          <w:bCs/>
          <w:iCs/>
          <w:sz w:val="18"/>
          <w:szCs w:val="18"/>
        </w:rPr>
        <w:t>no</w:t>
      </w:r>
      <w:r w:rsidR="009B6C63" w:rsidRPr="00576969">
        <w:rPr>
          <w:rFonts w:ascii="Titillium" w:hAnsi="Titillium"/>
          <w:bCs/>
          <w:iCs/>
          <w:sz w:val="18"/>
          <w:szCs w:val="18"/>
        </w:rPr>
        <w:t xml:space="preserve"> i requisiti delle norme coperte da certificazione;</w:t>
      </w:r>
    </w:p>
    <w:p w14:paraId="0B875D3B" w14:textId="5E6A9FF8"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 xml:space="preserve">alle imprese consorziate indicate come esecutrici in caso di </w:t>
      </w:r>
      <w:r w:rsidR="009B6C63" w:rsidRPr="009B6C63">
        <w:rPr>
          <w:rFonts w:ascii="Titillium" w:hAnsi="Titillium"/>
          <w:bCs/>
          <w:iCs/>
          <w:sz w:val="18"/>
          <w:szCs w:val="18"/>
        </w:rPr>
        <w:t>certificazioni specificamente correlate alla attività oggetto dell’appalto.</w:t>
      </w:r>
    </w:p>
    <w:p w14:paraId="06FBD125" w14:textId="77777777" w:rsidR="004C53A8" w:rsidRDefault="00870286">
      <w:pPr>
        <w:pStyle w:val="Titolo2"/>
        <w:numPr>
          <w:ilvl w:val="0"/>
          <w:numId w:val="4"/>
        </w:numPr>
        <w:ind w:left="357" w:hanging="357"/>
      </w:pPr>
      <w:bookmarkStart w:id="1708" w:name="_Toc95495893"/>
      <w:r>
        <w:rPr>
          <w:rFonts w:ascii="Titillium" w:hAnsi="Titillium"/>
          <w:sz w:val="18"/>
          <w:szCs w:val="18"/>
        </w:rPr>
        <w:t>AVVALIMENTO</w:t>
      </w:r>
      <w:bookmarkEnd w:id="1708"/>
      <w:r>
        <w:rPr>
          <w:rFonts w:ascii="Titillium" w:hAnsi="Titillium"/>
          <w:sz w:val="18"/>
          <w:szCs w:val="18"/>
        </w:rPr>
        <w:t xml:space="preserve"> </w:t>
      </w:r>
    </w:p>
    <w:p w14:paraId="05932298" w14:textId="5B4D2E64" w:rsidR="004C53A8" w:rsidRDefault="00F555F9">
      <w:pPr>
        <w:tabs>
          <w:tab w:val="left" w:pos="0"/>
        </w:tabs>
        <w:spacing w:before="60" w:after="60"/>
        <w:rPr>
          <w:rFonts w:ascii="Titillium" w:hAnsi="Titillium" w:cs="Calibri"/>
          <w:sz w:val="18"/>
          <w:szCs w:val="18"/>
        </w:rPr>
      </w:pPr>
      <w:r>
        <w:rPr>
          <w:rFonts w:ascii="Titillium" w:hAnsi="Titillium" w:cs="Calibri"/>
          <w:sz w:val="18"/>
          <w:szCs w:val="18"/>
        </w:rPr>
        <w:t xml:space="preserve">Il concorrente può soddisfare la richiesta dei </w:t>
      </w:r>
      <w:r w:rsidR="00870286">
        <w:rPr>
          <w:rFonts w:ascii="Titillium" w:hAnsi="Titillium" w:cs="Calibri"/>
          <w:sz w:val="18"/>
          <w:szCs w:val="18"/>
        </w:rPr>
        <w:t xml:space="preserve">requisiti di carattere economico-finanziario e tecnico professionale di cui ai punti </w:t>
      </w:r>
      <w:r>
        <w:rPr>
          <w:rFonts w:ascii="Titillium" w:hAnsi="Titillium" w:cs="Calibri"/>
          <w:sz w:val="18"/>
          <w:szCs w:val="18"/>
        </w:rPr>
        <w:t>6</w:t>
      </w:r>
      <w:r w:rsidR="00870286">
        <w:rPr>
          <w:rFonts w:ascii="Titillium" w:hAnsi="Titillium" w:cs="Calibri"/>
          <w:sz w:val="18"/>
          <w:szCs w:val="18"/>
        </w:rPr>
        <w:t xml:space="preserve">.2 e </w:t>
      </w:r>
      <w:r>
        <w:rPr>
          <w:rFonts w:ascii="Titillium" w:hAnsi="Titillium" w:cs="Calibri"/>
          <w:sz w:val="18"/>
          <w:szCs w:val="18"/>
        </w:rPr>
        <w:t>6</w:t>
      </w:r>
      <w:r w:rsidR="00870286">
        <w:rPr>
          <w:rFonts w:ascii="Titillium" w:hAnsi="Titillium" w:cs="Calibri"/>
          <w:sz w:val="18"/>
          <w:szCs w:val="18"/>
        </w:rPr>
        <w:t xml:space="preserve">.3 </w:t>
      </w:r>
      <w:r w:rsidR="00B443C9">
        <w:rPr>
          <w:rFonts w:ascii="Titillium" w:hAnsi="Titillium" w:cs="Calibri"/>
          <w:sz w:val="18"/>
          <w:szCs w:val="18"/>
        </w:rPr>
        <w:t xml:space="preserve">anche </w:t>
      </w:r>
      <w:r w:rsidR="00870286">
        <w:rPr>
          <w:rFonts w:ascii="Titillium" w:hAnsi="Titillium" w:cs="Calibri"/>
          <w:sz w:val="18"/>
          <w:szCs w:val="18"/>
        </w:rPr>
        <w:t>mediante ricorso all’avvalimento</w:t>
      </w:r>
      <w:r w:rsidR="00B443C9">
        <w:rPr>
          <w:rFonts w:ascii="Titillium" w:hAnsi="Titillium" w:cs="Calibri"/>
          <w:sz w:val="18"/>
          <w:szCs w:val="18"/>
        </w:rPr>
        <w:t>.</w:t>
      </w:r>
    </w:p>
    <w:p w14:paraId="3AF9A319" w14:textId="624A2B95" w:rsidR="005D2897" w:rsidRDefault="005D2897">
      <w:pPr>
        <w:tabs>
          <w:tab w:val="left" w:pos="0"/>
        </w:tabs>
        <w:spacing w:before="60" w:after="60"/>
      </w:pPr>
      <w:r>
        <w:rPr>
          <w:rFonts w:ascii="Titillium" w:hAnsi="Titillium" w:cs="Calibri"/>
          <w:sz w:val="18"/>
          <w:szCs w:val="18"/>
        </w:rPr>
        <w:t>L’avvalimento è obbligatorio per gli operatori economici che hanno depositato la domanda di concordato</w:t>
      </w:r>
      <w:r w:rsidR="00117EC7">
        <w:rPr>
          <w:rFonts w:ascii="Titillium" w:hAnsi="Titillium" w:cs="Calibri"/>
          <w:sz w:val="18"/>
          <w:szCs w:val="18"/>
        </w:rPr>
        <w:t xml:space="preserve">, qualora </w:t>
      </w:r>
      <w:r>
        <w:rPr>
          <w:rFonts w:ascii="Titillium" w:hAnsi="Titillium" w:cs="Calibri"/>
          <w:sz w:val="18"/>
          <w:szCs w:val="18"/>
        </w:rPr>
        <w:t xml:space="preserve">non </w:t>
      </w:r>
      <w:r w:rsidR="00117EC7">
        <w:rPr>
          <w:rFonts w:ascii="Titillium" w:hAnsi="Titillium" w:cs="Calibri"/>
          <w:sz w:val="18"/>
          <w:szCs w:val="18"/>
        </w:rPr>
        <w:t>sia</w:t>
      </w:r>
      <w:r>
        <w:rPr>
          <w:rFonts w:ascii="Titillium" w:hAnsi="Titillium" w:cs="Calibri"/>
          <w:sz w:val="18"/>
          <w:szCs w:val="18"/>
        </w:rPr>
        <w:t xml:space="preserve"> stato ancora depositato il decreto previsto </w:t>
      </w:r>
      <w:r w:rsidRPr="005D2897">
        <w:rPr>
          <w:rFonts w:ascii="Titillium" w:hAnsi="Titillium" w:cs="Calibri"/>
          <w:sz w:val="18"/>
          <w:szCs w:val="18"/>
        </w:rPr>
        <w:t>dall’articolo 163 del regio decreto 16 marzo 1942, n. 267</w:t>
      </w:r>
      <w:r>
        <w:rPr>
          <w:rFonts w:ascii="Titillium" w:hAnsi="Titillium" w:cs="Calibri"/>
          <w:sz w:val="18"/>
          <w:szCs w:val="18"/>
        </w:rPr>
        <w:t>.</w:t>
      </w:r>
    </w:p>
    <w:p w14:paraId="78A2C824" w14:textId="1A6E6C2C" w:rsidR="004C53A8" w:rsidRDefault="00870286">
      <w:pPr>
        <w:tabs>
          <w:tab w:val="left" w:pos="0"/>
        </w:tabs>
        <w:spacing w:before="60" w:after="60"/>
      </w:pPr>
      <w:r>
        <w:rPr>
          <w:rFonts w:ascii="Titillium" w:hAnsi="Titillium" w:cs="Calibri"/>
          <w:sz w:val="18"/>
          <w:szCs w:val="18"/>
        </w:rPr>
        <w:t xml:space="preserve">Non è consentito l’avvalimento dei requisiti generali e dei requisiti di idoneità professionale di cui al punto </w:t>
      </w:r>
      <w:r w:rsidR="00B443C9">
        <w:rPr>
          <w:rFonts w:ascii="Titillium" w:hAnsi="Titillium" w:cs="Calibri"/>
          <w:sz w:val="18"/>
          <w:szCs w:val="18"/>
        </w:rPr>
        <w:t>6</w:t>
      </w:r>
      <w:r>
        <w:rPr>
          <w:rFonts w:ascii="Titillium" w:hAnsi="Titillium" w:cs="Calibri"/>
          <w:sz w:val="18"/>
          <w:szCs w:val="18"/>
        </w:rPr>
        <w:t xml:space="preserve">.1. </w:t>
      </w:r>
    </w:p>
    <w:p w14:paraId="17E50800" w14:textId="7FEF12FE" w:rsidR="004C53A8" w:rsidRDefault="00870286">
      <w:pPr>
        <w:tabs>
          <w:tab w:val="left" w:pos="0"/>
        </w:tabs>
        <w:spacing w:before="60" w:after="60"/>
      </w:pPr>
      <w:r>
        <w:rPr>
          <w:rFonts w:ascii="Titillium" w:hAnsi="Titillium" w:cs="Calibri"/>
          <w:b/>
          <w:i/>
          <w:sz w:val="18"/>
          <w:szCs w:val="18"/>
        </w:rPr>
        <w:t xml:space="preserve">[Se richiesti requisiti relativi a titoli di studio e professionali di cui al punto </w:t>
      </w:r>
      <w:r w:rsidR="00B443C9">
        <w:rPr>
          <w:rFonts w:ascii="Titillium" w:hAnsi="Titillium" w:cs="Calibri"/>
          <w:b/>
          <w:i/>
          <w:sz w:val="18"/>
          <w:szCs w:val="18"/>
        </w:rPr>
        <w:t>6.3</w:t>
      </w:r>
      <w:r>
        <w:rPr>
          <w:rFonts w:ascii="Titillium" w:hAnsi="Titillium" w:cs="Calibri"/>
          <w:b/>
          <w:i/>
          <w:sz w:val="18"/>
          <w:szCs w:val="18"/>
        </w:rPr>
        <w:t xml:space="preserve"> lettera </w:t>
      </w:r>
      <w:r>
        <w:rPr>
          <w:rFonts w:ascii="Titillium" w:hAnsi="Titillium" w:cs="Calibri"/>
          <w:b/>
          <w:i/>
          <w:sz w:val="18"/>
          <w:szCs w:val="18"/>
        </w:rPr>
        <w:fldChar w:fldCharType="begin"/>
      </w:r>
      <w:r>
        <w:rPr>
          <w:rFonts w:ascii="Titillium" w:hAnsi="Titillium" w:cs="Calibri"/>
          <w:b/>
          <w:i/>
          <w:sz w:val="18"/>
          <w:szCs w:val="18"/>
        </w:rPr>
        <w:instrText>REF _Ref495411385 \r \h</w:instrText>
      </w:r>
      <w:r>
        <w:rPr>
          <w:rFonts w:ascii="Titillium" w:hAnsi="Titillium" w:cs="Calibri"/>
          <w:b/>
          <w:i/>
          <w:sz w:val="18"/>
          <w:szCs w:val="18"/>
        </w:rPr>
      </w:r>
      <w:r>
        <w:rPr>
          <w:rFonts w:ascii="Titillium" w:hAnsi="Titillium" w:cs="Calibri"/>
          <w:b/>
          <w:i/>
          <w:sz w:val="18"/>
          <w:szCs w:val="18"/>
        </w:rPr>
        <w:fldChar w:fldCharType="separate"/>
      </w:r>
      <w:r w:rsidR="006F0CBC">
        <w:rPr>
          <w:rFonts w:ascii="Titillium" w:hAnsi="Titillium" w:cs="Calibri"/>
          <w:b/>
          <w:i/>
          <w:sz w:val="18"/>
          <w:szCs w:val="18"/>
        </w:rPr>
        <w:t>p)</w:t>
      </w:r>
      <w:r>
        <w:rPr>
          <w:rFonts w:ascii="Titillium" w:hAnsi="Titillium" w:cs="Calibri"/>
          <w:b/>
          <w:i/>
          <w:sz w:val="18"/>
          <w:szCs w:val="18"/>
        </w:rPr>
        <w:fldChar w:fldCharType="end"/>
      </w:r>
      <w:r>
        <w:rPr>
          <w:rFonts w:ascii="Titillium" w:hAnsi="Titillium" w:cs="Calibri"/>
          <w:b/>
          <w:i/>
          <w:sz w:val="18"/>
          <w:szCs w:val="18"/>
        </w:rPr>
        <w:t xml:space="preserve"> o esperienze professionali pertinenti]</w:t>
      </w:r>
      <w:r>
        <w:rPr>
          <w:rFonts w:ascii="Titillium" w:hAnsi="Titillium" w:cs="Calibri"/>
          <w:b/>
          <w:sz w:val="18"/>
          <w:szCs w:val="18"/>
        </w:rPr>
        <w:t xml:space="preserve"> </w:t>
      </w:r>
      <w:r>
        <w:rPr>
          <w:rFonts w:ascii="Titillium" w:hAnsi="Titillium" w:cs="Calibri"/>
          <w:sz w:val="18"/>
          <w:szCs w:val="18"/>
        </w:rPr>
        <w:t xml:space="preserve">Per quanto riguarda i requisiti titoli di studio e/o professionali richiesti al punto </w:t>
      </w:r>
      <w:r>
        <w:rPr>
          <w:rFonts w:ascii="Titillium" w:hAnsi="Titillium" w:cs="Calibri"/>
          <w:sz w:val="18"/>
          <w:szCs w:val="18"/>
        </w:rPr>
        <w:fldChar w:fldCharType="begin"/>
      </w:r>
      <w:r>
        <w:rPr>
          <w:rFonts w:ascii="Titillium" w:hAnsi="Titillium" w:cs="Calibri"/>
          <w:sz w:val="18"/>
          <w:szCs w:val="18"/>
        </w:rPr>
        <w:instrText>REF _Ref495482790 \r \h</w:instrText>
      </w:r>
      <w:r>
        <w:rPr>
          <w:rFonts w:ascii="Titillium" w:hAnsi="Titillium" w:cs="Calibri"/>
          <w:sz w:val="18"/>
          <w:szCs w:val="18"/>
        </w:rPr>
      </w:r>
      <w:r>
        <w:rPr>
          <w:rFonts w:ascii="Titillium" w:hAnsi="Titillium" w:cs="Calibri"/>
          <w:sz w:val="18"/>
          <w:szCs w:val="18"/>
        </w:rPr>
        <w:fldChar w:fldCharType="separate"/>
      </w:r>
      <w:r w:rsidR="006F0CBC">
        <w:rPr>
          <w:rFonts w:ascii="Titillium" w:hAnsi="Titillium" w:cs="Calibri"/>
          <w:sz w:val="18"/>
          <w:szCs w:val="18"/>
        </w:rPr>
        <w:t>6.3</w:t>
      </w:r>
      <w:r>
        <w:rPr>
          <w:rFonts w:ascii="Titillium" w:hAnsi="Titillium" w:cs="Calibri"/>
          <w:sz w:val="18"/>
          <w:szCs w:val="18"/>
        </w:rPr>
        <w:fldChar w:fldCharType="end"/>
      </w:r>
      <w:r>
        <w:rPr>
          <w:rFonts w:ascii="Titillium" w:hAnsi="Titillium" w:cs="Calibri"/>
          <w:sz w:val="18"/>
          <w:szCs w:val="18"/>
        </w:rPr>
        <w:t xml:space="preserve"> lettera </w:t>
      </w:r>
      <w:r>
        <w:rPr>
          <w:rFonts w:ascii="Titillium" w:hAnsi="Titillium" w:cs="Calibri"/>
          <w:sz w:val="18"/>
          <w:szCs w:val="18"/>
        </w:rPr>
        <w:fldChar w:fldCharType="begin"/>
      </w:r>
      <w:r>
        <w:rPr>
          <w:rFonts w:ascii="Titillium" w:hAnsi="Titillium" w:cs="Calibri"/>
          <w:sz w:val="18"/>
          <w:szCs w:val="18"/>
        </w:rPr>
        <w:instrText>REF _Ref495411385 \r \h</w:instrText>
      </w:r>
      <w:r>
        <w:rPr>
          <w:rFonts w:ascii="Titillium" w:hAnsi="Titillium" w:cs="Calibri"/>
          <w:sz w:val="18"/>
          <w:szCs w:val="18"/>
        </w:rPr>
      </w:r>
      <w:r>
        <w:rPr>
          <w:rFonts w:ascii="Titillium" w:hAnsi="Titillium" w:cs="Calibri"/>
          <w:sz w:val="18"/>
          <w:szCs w:val="18"/>
        </w:rPr>
        <w:fldChar w:fldCharType="separate"/>
      </w:r>
      <w:r w:rsidR="006F0CBC">
        <w:rPr>
          <w:rFonts w:ascii="Titillium" w:hAnsi="Titillium" w:cs="Calibri"/>
          <w:sz w:val="18"/>
          <w:szCs w:val="18"/>
        </w:rPr>
        <w:t>p)</w:t>
      </w:r>
      <w:r>
        <w:rPr>
          <w:rFonts w:ascii="Titillium" w:hAnsi="Titillium" w:cs="Calibri"/>
          <w:sz w:val="18"/>
          <w:szCs w:val="18"/>
        </w:rPr>
        <w:fldChar w:fldCharType="end"/>
      </w:r>
      <w:r>
        <w:rPr>
          <w:rFonts w:ascii="Titillium" w:hAnsi="Titillium" w:cs="Calibri"/>
          <w:sz w:val="18"/>
          <w:szCs w:val="18"/>
        </w:rPr>
        <w:t xml:space="preserve"> o esperienze professionali pertinenti, il concorrente</w:t>
      </w:r>
      <w:r w:rsidR="00A71354">
        <w:rPr>
          <w:rFonts w:ascii="Titillium" w:hAnsi="Titillium" w:cs="Calibri"/>
          <w:sz w:val="18"/>
          <w:szCs w:val="18"/>
        </w:rPr>
        <w:t xml:space="preserve"> </w:t>
      </w:r>
      <w:r>
        <w:rPr>
          <w:rFonts w:ascii="Titillium" w:hAnsi="Titillium" w:cs="Calibri"/>
          <w:sz w:val="18"/>
          <w:szCs w:val="18"/>
        </w:rPr>
        <w:t xml:space="preserve">può avvalersi delle capacità di altri soggetti solo se questi ultimi eseguono direttamente i servizi/forniture per cui tali capacità sono richieste. </w:t>
      </w:r>
    </w:p>
    <w:p w14:paraId="0F44468D" w14:textId="4DA458E5" w:rsidR="004C53A8" w:rsidRDefault="00870286">
      <w:pPr>
        <w:tabs>
          <w:tab w:val="left" w:pos="0"/>
        </w:tabs>
        <w:spacing w:before="60" w:after="60"/>
        <w:rPr>
          <w:rFonts w:ascii="Titillium" w:hAnsi="Titillium" w:cs="Calibri"/>
          <w:sz w:val="18"/>
          <w:szCs w:val="18"/>
        </w:rPr>
      </w:pPr>
      <w:r>
        <w:rPr>
          <w:rFonts w:ascii="Titillium" w:hAnsi="Titillium" w:cs="Calibri"/>
          <w:b/>
          <w:i/>
          <w:sz w:val="18"/>
          <w:szCs w:val="18"/>
        </w:rPr>
        <w:t>[In casi di richiesta di certificazioni del sistema di gestione della qualità e/o ambientale]</w:t>
      </w:r>
      <w:r>
        <w:rPr>
          <w:rFonts w:ascii="Titillium" w:hAnsi="Titillium" w:cs="Calibri"/>
          <w:b/>
          <w:sz w:val="18"/>
          <w:szCs w:val="18"/>
        </w:rPr>
        <w:t xml:space="preserve"> </w:t>
      </w:r>
      <w:r>
        <w:rPr>
          <w:rFonts w:ascii="Titillium" w:hAnsi="Titillium" w:cs="Calibri"/>
          <w:bCs/>
          <w:color w:val="000000"/>
          <w:sz w:val="18"/>
          <w:szCs w:val="18"/>
        </w:rPr>
        <w:t>Il ricorso all’avvalimento per la certificazione</w:t>
      </w:r>
      <w:r>
        <w:rPr>
          <w:rFonts w:ascii="Titillium" w:hAnsi="Titillium" w:cs="Calibri"/>
          <w:b/>
          <w:bCs/>
          <w:color w:val="000000"/>
          <w:sz w:val="18"/>
          <w:szCs w:val="18"/>
        </w:rPr>
        <w:t xml:space="preserve"> ... </w:t>
      </w:r>
      <w:r>
        <w:rPr>
          <w:rFonts w:ascii="Titillium" w:hAnsi="Titillium" w:cs="Calibri"/>
          <w:color w:val="000000"/>
          <w:sz w:val="18"/>
          <w:szCs w:val="18"/>
        </w:rPr>
        <w:t>[</w:t>
      </w:r>
      <w:r w:rsidRPr="00B443C9">
        <w:rPr>
          <w:rFonts w:ascii="Titillium" w:hAnsi="Titillium" w:cs="Calibri"/>
          <w:i/>
          <w:iCs/>
          <w:color w:val="000000"/>
          <w:sz w:val="18"/>
          <w:szCs w:val="18"/>
        </w:rPr>
        <w:t xml:space="preserve">specificare la relativa </w:t>
      </w:r>
      <w:r>
        <w:rPr>
          <w:rFonts w:ascii="Titillium" w:hAnsi="Titillium" w:cs="Calibri"/>
          <w:i/>
          <w:iCs/>
          <w:color w:val="000000"/>
          <w:sz w:val="18"/>
          <w:szCs w:val="18"/>
        </w:rPr>
        <w:t>certificazione</w:t>
      </w:r>
      <w:r>
        <w:rPr>
          <w:rFonts w:ascii="Titillium" w:hAnsi="Titillium" w:cs="Calibri"/>
          <w:color w:val="000000"/>
          <w:sz w:val="18"/>
          <w:szCs w:val="18"/>
        </w:rPr>
        <w:t xml:space="preserve">] comporta che l’ausiliaria metta a disposizione dell’ausiliata per l’esecuzione dell’appalto </w:t>
      </w:r>
      <w:r>
        <w:rPr>
          <w:rFonts w:ascii="Titillium" w:hAnsi="Titillium" w:cs="Calibri"/>
          <w:sz w:val="18"/>
          <w:szCs w:val="18"/>
        </w:rPr>
        <w:t>le proprie risorse e il proprio apparato organizzativo in tutte le parti che giustificano l’attribu</w:t>
      </w:r>
      <w:r w:rsidR="00A71354">
        <w:rPr>
          <w:rFonts w:ascii="Titillium" w:hAnsi="Titillium" w:cs="Calibri"/>
          <w:sz w:val="18"/>
          <w:szCs w:val="18"/>
        </w:rPr>
        <w:t>zione del requisito di qualità.</w:t>
      </w:r>
    </w:p>
    <w:p w14:paraId="49534745" w14:textId="77777777" w:rsidR="004C53A8" w:rsidRDefault="00870286">
      <w:pPr>
        <w:spacing w:before="60" w:after="60"/>
        <w:rPr>
          <w:rFonts w:ascii="Titillium" w:hAnsi="Titillium" w:cs="Calibri"/>
          <w:sz w:val="18"/>
          <w:szCs w:val="18"/>
        </w:rPr>
      </w:pPr>
      <w:r>
        <w:rPr>
          <w:rFonts w:ascii="Titillium" w:hAnsi="Titillium" w:cs="Calibri"/>
          <w:sz w:val="18"/>
          <w:szCs w:val="18"/>
        </w:rPr>
        <w:t>L’ausiliaria deve:</w:t>
      </w:r>
    </w:p>
    <w:p w14:paraId="391D7A9F" w14:textId="66ACA060" w:rsidR="00B8054C" w:rsidRPr="007774FB" w:rsidRDefault="00B8054C" w:rsidP="00B8054C">
      <w:pPr>
        <w:pStyle w:val="Paragrafoelenco"/>
        <w:numPr>
          <w:ilvl w:val="2"/>
          <w:numId w:val="18"/>
        </w:numPr>
        <w:spacing w:before="60" w:after="60"/>
        <w:ind w:left="709"/>
      </w:pPr>
      <w:r w:rsidRPr="00B8054C">
        <w:rPr>
          <w:rFonts w:ascii="Titillium" w:hAnsi="Titillium" w:cs="Calibri"/>
          <w:sz w:val="18"/>
          <w:szCs w:val="18"/>
        </w:rPr>
        <w:t xml:space="preserve">possedere i requisiti previsti dall’articolo 6 nonché i requisiti tecnici e le risorse oggetto di avvalimento e dichiararli presentando un proprio </w:t>
      </w:r>
      <w:r w:rsidR="00870286" w:rsidRPr="007774FB">
        <w:rPr>
          <w:rFonts w:ascii="Titillium" w:hAnsi="Titillium" w:cs="Calibri"/>
          <w:sz w:val="18"/>
          <w:szCs w:val="18"/>
        </w:rPr>
        <w:t xml:space="preserve">DGUE, da compilare nelle parti pertinenti; </w:t>
      </w:r>
    </w:p>
    <w:p w14:paraId="09571959" w14:textId="41A02E50" w:rsidR="004C53A8" w:rsidRDefault="00894A49" w:rsidP="00B8054C">
      <w:pPr>
        <w:pStyle w:val="Paragrafoelenco"/>
        <w:numPr>
          <w:ilvl w:val="2"/>
          <w:numId w:val="18"/>
        </w:numPr>
        <w:spacing w:before="60" w:after="60"/>
        <w:ind w:left="709"/>
      </w:pPr>
      <w:r w:rsidRPr="00B8054C">
        <w:rPr>
          <w:rFonts w:ascii="Titillium" w:hAnsi="Titillium" w:cs="Calibri"/>
          <w:sz w:val="18"/>
          <w:szCs w:val="18"/>
        </w:rPr>
        <w:t>rilasciare</w:t>
      </w:r>
      <w:r w:rsidR="00870286" w:rsidRPr="00B8054C">
        <w:rPr>
          <w:rFonts w:ascii="Titillium" w:hAnsi="Titillium" w:cs="Calibri"/>
          <w:sz w:val="18"/>
          <w:szCs w:val="18"/>
        </w:rPr>
        <w:t xml:space="preserve"> la dichiarazione di avvalimento co</w:t>
      </w:r>
      <w:r w:rsidR="00B443C9" w:rsidRPr="00B8054C">
        <w:rPr>
          <w:rFonts w:ascii="Titillium" w:hAnsi="Titillium" w:cs="Calibri"/>
          <w:sz w:val="18"/>
          <w:szCs w:val="18"/>
        </w:rPr>
        <w:t>n</w:t>
      </w:r>
      <w:r w:rsidR="00870286" w:rsidRPr="00B8054C">
        <w:rPr>
          <w:rFonts w:ascii="Titillium" w:hAnsi="Titillium" w:cs="Calibri"/>
          <w:sz w:val="18"/>
          <w:szCs w:val="18"/>
        </w:rPr>
        <w:t>tene</w:t>
      </w:r>
      <w:r w:rsidRPr="00B8054C">
        <w:rPr>
          <w:rFonts w:ascii="Titillium" w:hAnsi="Titillium" w:cs="Calibri"/>
          <w:sz w:val="18"/>
          <w:szCs w:val="18"/>
        </w:rPr>
        <w:t>n</w:t>
      </w:r>
      <w:r w:rsidR="00870286" w:rsidRPr="007774FB">
        <w:rPr>
          <w:rFonts w:ascii="Titillium" w:hAnsi="Titillium" w:cs="Calibri"/>
          <w:sz w:val="18"/>
          <w:szCs w:val="18"/>
        </w:rPr>
        <w:t>te</w:t>
      </w:r>
      <w:r w:rsidRPr="007774FB">
        <w:rPr>
          <w:rFonts w:ascii="Titillium" w:hAnsi="Titillium" w:cs="Calibri"/>
          <w:sz w:val="18"/>
          <w:szCs w:val="18"/>
        </w:rPr>
        <w:t xml:space="preserve"> </w:t>
      </w:r>
      <w:r w:rsidR="00870286" w:rsidRPr="007774FB">
        <w:rPr>
          <w:rFonts w:ascii="Titillium" w:hAnsi="Titillium" w:cs="Calibri"/>
          <w:sz w:val="18"/>
          <w:szCs w:val="18"/>
        </w:rPr>
        <w:t xml:space="preserve">l’obbligo verso il concorrente e verso la stazione appaltante, di mettere a disposizione, per tutta la durata dell’appalto, le risorse </w:t>
      </w:r>
      <w:r w:rsidR="00870286" w:rsidRPr="00B8054C">
        <w:rPr>
          <w:rFonts w:ascii="Titillium" w:hAnsi="Titillium" w:cs="Calibri"/>
          <w:sz w:val="18"/>
          <w:szCs w:val="18"/>
        </w:rPr>
        <w:t>necessarie di cui è carente il concorrente</w:t>
      </w:r>
      <w:r w:rsidRPr="00B8054C">
        <w:rPr>
          <w:rFonts w:ascii="Titillium" w:hAnsi="Titillium" w:cs="Calibri"/>
          <w:sz w:val="18"/>
          <w:szCs w:val="18"/>
        </w:rPr>
        <w:t>.</w:t>
      </w:r>
    </w:p>
    <w:p w14:paraId="7485D8CB" w14:textId="17D3D3DE" w:rsidR="004C53A8" w:rsidRDefault="00870286" w:rsidP="000A3996">
      <w:pPr>
        <w:tabs>
          <w:tab w:val="left" w:pos="0"/>
        </w:tabs>
        <w:spacing w:before="60" w:after="60"/>
      </w:pPr>
      <w:r>
        <w:rPr>
          <w:rFonts w:ascii="Titillium" w:hAnsi="Titillium" w:cs="Calibri"/>
          <w:sz w:val="18"/>
          <w:szCs w:val="18"/>
        </w:rPr>
        <w:t>Il concorrente deve allegare il contratto di avvalimento nel quale sono specificati</w:t>
      </w:r>
      <w:r w:rsidR="000A3996">
        <w:rPr>
          <w:rFonts w:ascii="Titillium" w:hAnsi="Titillium" w:cs="Calibri"/>
          <w:sz w:val="18"/>
          <w:szCs w:val="18"/>
        </w:rPr>
        <w:t xml:space="preserve"> </w:t>
      </w:r>
      <w:r>
        <w:rPr>
          <w:rFonts w:ascii="Titillium" w:hAnsi="Titillium" w:cs="Calibri"/>
          <w:sz w:val="18"/>
          <w:szCs w:val="18"/>
        </w:rPr>
        <w:t>i requisiti economico-finanziari e tecnico-organizzativi messi a disposizione e le correlate risorse strumentali e umane</w:t>
      </w:r>
      <w:r w:rsidR="000A3996">
        <w:rPr>
          <w:rFonts w:ascii="Titillium" w:hAnsi="Titillium" w:cs="Calibri"/>
          <w:sz w:val="18"/>
          <w:szCs w:val="18"/>
        </w:rPr>
        <w:t>.</w:t>
      </w:r>
    </w:p>
    <w:p w14:paraId="4DDAE05A" w14:textId="77777777" w:rsidR="004C53A8" w:rsidRDefault="00870286">
      <w:pPr>
        <w:tabs>
          <w:tab w:val="left" w:pos="0"/>
        </w:tabs>
        <w:spacing w:before="60" w:after="60"/>
        <w:rPr>
          <w:rFonts w:ascii="Titillium" w:hAnsi="Titillium" w:cs="Calibri"/>
          <w:sz w:val="18"/>
          <w:szCs w:val="18"/>
        </w:rPr>
      </w:pPr>
      <w:r>
        <w:rPr>
          <w:rFonts w:ascii="Titillium" w:hAnsi="Titillium" w:cs="Calibri"/>
          <w:sz w:val="18"/>
          <w:szCs w:val="18"/>
        </w:rPr>
        <w:t>Il concorrente può avvalersi di più imprese ausiliarie.</w:t>
      </w:r>
    </w:p>
    <w:p w14:paraId="60DDB93B" w14:textId="6027E36E" w:rsidR="004C53A8" w:rsidRDefault="00870286">
      <w:pPr>
        <w:tabs>
          <w:tab w:val="left" w:pos="0"/>
        </w:tabs>
        <w:spacing w:before="60" w:after="60"/>
        <w:rPr>
          <w:rFonts w:ascii="Titillium" w:hAnsi="Titillium" w:cs="Calibri"/>
          <w:sz w:val="18"/>
          <w:szCs w:val="18"/>
        </w:rPr>
      </w:pPr>
      <w:r w:rsidRPr="00AC0147">
        <w:rPr>
          <w:rFonts w:ascii="Titillium" w:hAnsi="Titillium" w:cs="Calibri"/>
          <w:sz w:val="18"/>
          <w:szCs w:val="18"/>
        </w:rPr>
        <w:t>A pena di esclusione, non</w:t>
      </w:r>
      <w:r>
        <w:rPr>
          <w:rFonts w:ascii="Titillium" w:hAnsi="Titillium" w:cs="Calibri"/>
          <w:sz w:val="18"/>
          <w:szCs w:val="18"/>
        </w:rPr>
        <w:t xml:space="preserve"> è consentito che l’ausiliaria presti avvalimento per più di un concorrente e che partecipino alla medesima gara </w:t>
      </w:r>
      <w:r w:rsidRPr="009C116C">
        <w:rPr>
          <w:rFonts w:ascii="Titillium" w:hAnsi="Titillium" w:cs="Calibri"/>
          <w:i/>
          <w:sz w:val="18"/>
          <w:szCs w:val="18"/>
        </w:rPr>
        <w:t>[in alternativa, in caso di suddivisione in lotti sostituire “alla gara” con “al singolo lotto</w:t>
      </w:r>
      <w:r>
        <w:rPr>
          <w:rFonts w:ascii="Titillium" w:hAnsi="Titillium" w:cs="Calibri"/>
          <w:sz w:val="18"/>
          <w:szCs w:val="18"/>
        </w:rPr>
        <w:t xml:space="preserve">”] sia l’ausiliaria che il concorrente che si avvale dei requisiti. </w:t>
      </w:r>
    </w:p>
    <w:p w14:paraId="754CCCA6" w14:textId="77777777" w:rsidR="00F26ABD" w:rsidRDefault="00F26ABD">
      <w:pPr>
        <w:tabs>
          <w:tab w:val="left" w:pos="0"/>
        </w:tabs>
        <w:spacing w:before="60" w:after="60"/>
      </w:pPr>
    </w:p>
    <w:tbl>
      <w:tblPr>
        <w:tblW w:w="9215" w:type="dxa"/>
        <w:tblInd w:w="-113" w:type="dxa"/>
        <w:tblLook w:val="04A0" w:firstRow="1" w:lastRow="0" w:firstColumn="1" w:lastColumn="0" w:noHBand="0" w:noVBand="1"/>
      </w:tblPr>
      <w:tblGrid>
        <w:gridCol w:w="9215"/>
      </w:tblGrid>
      <w:tr w:rsidR="004C53A8" w14:paraId="72C9E780" w14:textId="77777777">
        <w:tc>
          <w:tcPr>
            <w:tcW w:w="9215" w:type="dxa"/>
            <w:tcBorders>
              <w:top w:val="single" w:sz="4" w:space="0" w:color="000000"/>
              <w:left w:val="single" w:sz="4" w:space="0" w:color="000000"/>
              <w:bottom w:val="single" w:sz="4" w:space="0" w:color="000000"/>
              <w:right w:val="single" w:sz="4" w:space="0" w:color="000000"/>
            </w:tcBorders>
          </w:tcPr>
          <w:p w14:paraId="3517F2C9" w14:textId="779B171E" w:rsidR="004C53A8" w:rsidRDefault="00870286" w:rsidP="00955636">
            <w:pPr>
              <w:spacing w:before="60" w:after="60"/>
              <w:ind w:left="37"/>
            </w:pPr>
            <w:r>
              <w:rPr>
                <w:rFonts w:ascii="Titillium" w:hAnsi="Titillium" w:cs="Calibri"/>
                <w:i/>
                <w:sz w:val="18"/>
                <w:szCs w:val="18"/>
              </w:rPr>
              <w:t xml:space="preserve">N.B. </w:t>
            </w:r>
            <w:r>
              <w:rPr>
                <w:rFonts w:ascii="Titillium" w:hAnsi="Titillium" w:cs="Calibri"/>
                <w:i/>
                <w:iCs/>
                <w:sz w:val="18"/>
                <w:szCs w:val="18"/>
              </w:rPr>
              <w:t>La stazione appaltante può prevedere che, in relazione alla natura dell</w:t>
            </w:r>
            <w:r>
              <w:rPr>
                <w:rFonts w:ascii="Titillium" w:hAnsi="Titillium"/>
                <w:i/>
                <w:iCs/>
                <w:sz w:val="18"/>
                <w:szCs w:val="18"/>
              </w:rPr>
              <w:t>’appalto, qualora sussistano requisiti tecnici connessi con il possesso di particolari attrezzature possedute da un ristrettissimo ambito di imprese operanti sul mercato, queste possano prestare l’avvalimento nei confronti di più di un concorrente, sino ad un massimo indicato nel bando stesso, impegnandosi a fornire la particolare attrezzatura tecnica, alle medesime condizioni, all’aggiudicatario.</w:t>
            </w:r>
          </w:p>
        </w:tc>
      </w:tr>
    </w:tbl>
    <w:p w14:paraId="50BD6531" w14:textId="77777777" w:rsidR="00F26ABD" w:rsidRDefault="00F26ABD">
      <w:pPr>
        <w:spacing w:before="60" w:after="60"/>
        <w:rPr>
          <w:rFonts w:ascii="Titillium" w:hAnsi="Titillium" w:cs="Calibri"/>
          <w:sz w:val="18"/>
          <w:szCs w:val="18"/>
        </w:rPr>
      </w:pPr>
    </w:p>
    <w:p w14:paraId="46C31B93" w14:textId="5486C195" w:rsidR="004C53A8" w:rsidRDefault="00870286">
      <w:pPr>
        <w:spacing w:before="60" w:after="60"/>
      </w:pPr>
      <w:r>
        <w:rPr>
          <w:rFonts w:ascii="Titillium" w:hAnsi="Titillium" w:cs="Calibri"/>
          <w:sz w:val="18"/>
          <w:szCs w:val="18"/>
        </w:rPr>
        <w:t>Il concorrente e l’impresa ausiliaria sono responsabili in solido nei confronti della stazione appaltante in relazione alle prestazioni oggetto del contratto.</w:t>
      </w:r>
    </w:p>
    <w:p w14:paraId="4605BCD4" w14:textId="523B79FE" w:rsidR="004C53A8" w:rsidRPr="00A20272" w:rsidRDefault="00870286">
      <w:pPr>
        <w:spacing w:before="60" w:after="60"/>
        <w:rPr>
          <w:i/>
        </w:rPr>
      </w:pPr>
      <w:r>
        <w:rPr>
          <w:rFonts w:ascii="Titillium" w:hAnsi="Titillium" w:cs="Calibri"/>
          <w:b/>
          <w:i/>
          <w:sz w:val="18"/>
          <w:szCs w:val="18"/>
        </w:rPr>
        <w:t>[Facoltativo]</w:t>
      </w:r>
      <w:r>
        <w:rPr>
          <w:rFonts w:ascii="Titillium" w:hAnsi="Titillium" w:cs="Calibri"/>
          <w:b/>
          <w:sz w:val="18"/>
          <w:szCs w:val="18"/>
        </w:rPr>
        <w:t xml:space="preserve"> </w:t>
      </w:r>
      <w:r>
        <w:rPr>
          <w:rFonts w:ascii="Titillium" w:hAnsi="Titillium" w:cs="Calibri"/>
          <w:sz w:val="18"/>
          <w:szCs w:val="18"/>
        </w:rPr>
        <w:t xml:space="preserve">Ai sensi dell’articolo 89, comma 4 del Codice, i seguenti compiti essenziali: … </w:t>
      </w:r>
      <w:r w:rsidRPr="00A20272">
        <w:rPr>
          <w:rFonts w:ascii="Titillium" w:hAnsi="Titillium" w:cs="Calibri"/>
          <w:i/>
          <w:sz w:val="18"/>
          <w:szCs w:val="18"/>
        </w:rPr>
        <w:t>[</w:t>
      </w:r>
      <w:r w:rsidRPr="009C116C">
        <w:rPr>
          <w:rFonts w:ascii="Titillium" w:hAnsi="Titillium" w:cs="Calibri"/>
          <w:i/>
          <w:iCs/>
          <w:sz w:val="18"/>
          <w:szCs w:val="18"/>
        </w:rPr>
        <w:t>descrivere i compiti</w:t>
      </w:r>
      <w:r w:rsidRPr="00A20272">
        <w:rPr>
          <w:rFonts w:ascii="Titillium" w:hAnsi="Titillium" w:cs="Calibri"/>
          <w:i/>
          <w:sz w:val="18"/>
          <w:szCs w:val="18"/>
        </w:rPr>
        <w:t>]</w:t>
      </w:r>
      <w:r>
        <w:rPr>
          <w:rFonts w:ascii="Titillium" w:hAnsi="Titillium" w:cs="Calibri"/>
          <w:sz w:val="18"/>
          <w:szCs w:val="18"/>
        </w:rPr>
        <w:t xml:space="preserve"> sono direttamente svolti dall’offerente o, nel caso di offerta presentata da un raggruppamento, da </w:t>
      </w:r>
      <w:r w:rsidRPr="00A20272">
        <w:rPr>
          <w:rFonts w:ascii="Titillium" w:hAnsi="Titillium" w:cs="Calibri"/>
          <w:i/>
          <w:sz w:val="18"/>
          <w:szCs w:val="18"/>
        </w:rPr>
        <w:t>… [</w:t>
      </w:r>
      <w:r w:rsidRPr="00A20272">
        <w:rPr>
          <w:rFonts w:ascii="Titillium" w:hAnsi="Titillium" w:cs="Calibri"/>
          <w:i/>
          <w:iCs/>
          <w:sz w:val="18"/>
          <w:szCs w:val="18"/>
        </w:rPr>
        <w:t>indicare se mandataria o mandante</w:t>
      </w:r>
      <w:r w:rsidRPr="00A20272">
        <w:rPr>
          <w:rFonts w:ascii="Titillium" w:hAnsi="Titillium" w:cs="Calibri"/>
          <w:i/>
          <w:sz w:val="18"/>
          <w:szCs w:val="18"/>
        </w:rPr>
        <w:t>]</w:t>
      </w:r>
      <w:r w:rsidR="00A20272">
        <w:rPr>
          <w:rFonts w:ascii="Titillium" w:hAnsi="Titillium" w:cs="Calibri"/>
          <w:i/>
          <w:sz w:val="18"/>
          <w:szCs w:val="18"/>
        </w:rPr>
        <w:t xml:space="preserve">. </w:t>
      </w:r>
    </w:p>
    <w:p w14:paraId="15E13130" w14:textId="0309BB0C" w:rsidR="004C53A8" w:rsidRDefault="00870286">
      <w:pPr>
        <w:spacing w:before="60" w:after="60"/>
      </w:pPr>
      <w:r>
        <w:rPr>
          <w:rFonts w:ascii="Titillium" w:hAnsi="Titillium" w:cs="Calibri"/>
          <w:sz w:val="18"/>
          <w:szCs w:val="18"/>
        </w:rPr>
        <w:t>Qualora per l’ausiliaria sussistano motivi</w:t>
      </w:r>
      <w:r w:rsidR="00D16364">
        <w:rPr>
          <w:rFonts w:ascii="Titillium" w:hAnsi="Titillium" w:cs="Calibri"/>
          <w:sz w:val="18"/>
          <w:szCs w:val="18"/>
        </w:rPr>
        <w:t xml:space="preserve"> </w:t>
      </w:r>
      <w:r>
        <w:rPr>
          <w:rFonts w:ascii="Titillium" w:hAnsi="Titillium" w:cs="Calibri"/>
          <w:sz w:val="18"/>
          <w:szCs w:val="18"/>
        </w:rPr>
        <w:t xml:space="preserve">di esclusione o laddove essa non soddisfi i criteri di selezione, </w:t>
      </w:r>
      <w:r w:rsidR="00D16364">
        <w:rPr>
          <w:rFonts w:ascii="Titillium" w:hAnsi="Titillium" w:cs="Calibri"/>
          <w:sz w:val="18"/>
          <w:szCs w:val="18"/>
        </w:rPr>
        <w:t xml:space="preserve">il concorrente sostituisce l’impresa ausiliaria entro … </w:t>
      </w:r>
      <w:r w:rsidR="00D16364" w:rsidRPr="00D16364">
        <w:rPr>
          <w:rFonts w:ascii="Titillium" w:hAnsi="Titillium" w:cs="Calibri"/>
          <w:i/>
          <w:sz w:val="18"/>
          <w:szCs w:val="18"/>
        </w:rPr>
        <w:t>[indicare il numero dei giorni previsti</w:t>
      </w:r>
      <w:r w:rsidR="00D16364">
        <w:rPr>
          <w:rFonts w:ascii="Titillium" w:hAnsi="Titillium" w:cs="Calibri"/>
          <w:sz w:val="18"/>
          <w:szCs w:val="18"/>
        </w:rPr>
        <w:t xml:space="preserve">] giorni decorrenti dal ricevimento della richiesta da parte della </w:t>
      </w:r>
      <w:r>
        <w:rPr>
          <w:rFonts w:ascii="Titillium" w:hAnsi="Titillium" w:cs="Calibri"/>
          <w:sz w:val="18"/>
          <w:szCs w:val="18"/>
        </w:rPr>
        <w:t>stazione appaltante</w:t>
      </w:r>
      <w:r w:rsidR="00D16364">
        <w:rPr>
          <w:rFonts w:ascii="Titillium" w:hAnsi="Titillium" w:cs="Calibri"/>
          <w:sz w:val="18"/>
          <w:szCs w:val="18"/>
        </w:rPr>
        <w:t>. Contestualmente il concorrente produce i documenti richiesti per l’avvalimento</w:t>
      </w:r>
      <w:r>
        <w:rPr>
          <w:rFonts w:ascii="Titillium" w:hAnsi="Titillium" w:cs="Calibri"/>
          <w:sz w:val="18"/>
          <w:szCs w:val="18"/>
        </w:rPr>
        <w:t xml:space="preserve">. </w:t>
      </w:r>
    </w:p>
    <w:p w14:paraId="652F794E" w14:textId="77777777" w:rsidR="004C53A8" w:rsidRDefault="00870286">
      <w:pPr>
        <w:spacing w:before="60" w:after="60"/>
      </w:pPr>
      <w:r>
        <w:rPr>
          <w:rFonts w:ascii="Titillium" w:hAnsi="Titillium" w:cs="Calibri"/>
          <w:sz w:val="18"/>
          <w:szCs w:val="18"/>
        </w:rPr>
        <w:t>È sanabile, mediante soccorso istruttorio, la mancata produzione delle dichiarazioni dell’ausiliaria o del contratto di avvalimento, a condizione che i citati elementi siano preesistenti e comprovabili con documenti di data certa, anteriore al termine di presentazione dell’offerta.</w:t>
      </w:r>
    </w:p>
    <w:p w14:paraId="694D8EC2" w14:textId="6434B35F" w:rsidR="004C53A8" w:rsidRDefault="00870286">
      <w:pPr>
        <w:spacing w:before="60" w:after="60"/>
      </w:pPr>
      <w:r>
        <w:rPr>
          <w:rFonts w:ascii="Titillium" w:hAnsi="Titillium" w:cs="Calibri"/>
          <w:sz w:val="18"/>
          <w:szCs w:val="18"/>
        </w:rPr>
        <w:t xml:space="preserve">Non è sanabile - e quindi </w:t>
      </w:r>
      <w:r w:rsidRPr="00A71354">
        <w:rPr>
          <w:rFonts w:ascii="Titillium" w:hAnsi="Titillium" w:cs="Calibri"/>
          <w:sz w:val="18"/>
          <w:szCs w:val="18"/>
        </w:rPr>
        <w:t>è causa di esclusione</w:t>
      </w:r>
      <w:r>
        <w:rPr>
          <w:rFonts w:ascii="Titillium" w:hAnsi="Titillium" w:cs="Calibri"/>
          <w:sz w:val="18"/>
          <w:szCs w:val="18"/>
        </w:rPr>
        <w:t xml:space="preserve"> dalla gara - la mancata indicazione dei requisiti e delle risorse messi a disposizione dall’ausiliaria in quanto causa di nullità del contratto di avvalimento.</w:t>
      </w:r>
    </w:p>
    <w:tbl>
      <w:tblPr>
        <w:tblW w:w="9210" w:type="dxa"/>
        <w:tblInd w:w="-108" w:type="dxa"/>
        <w:tblLook w:val="04A0" w:firstRow="1" w:lastRow="0" w:firstColumn="1" w:lastColumn="0" w:noHBand="0" w:noVBand="1"/>
      </w:tblPr>
      <w:tblGrid>
        <w:gridCol w:w="9210"/>
      </w:tblGrid>
      <w:tr w:rsidR="004C53A8" w14:paraId="175AA977" w14:textId="77777777">
        <w:tc>
          <w:tcPr>
            <w:tcW w:w="9210" w:type="dxa"/>
            <w:tcBorders>
              <w:top w:val="single" w:sz="4" w:space="0" w:color="000000"/>
              <w:left w:val="single" w:sz="4" w:space="0" w:color="000000"/>
              <w:bottom w:val="single" w:sz="4" w:space="0" w:color="000000"/>
              <w:right w:val="single" w:sz="4" w:space="0" w:color="000000"/>
            </w:tcBorders>
          </w:tcPr>
          <w:p w14:paraId="5F6A981E" w14:textId="701C4244" w:rsidR="004C53A8" w:rsidRDefault="00870286" w:rsidP="00C06B88">
            <w:pPr>
              <w:spacing w:before="60" w:after="60"/>
            </w:pPr>
            <w:r>
              <w:rPr>
                <w:rFonts w:ascii="Titillium" w:hAnsi="Titillium" w:cs="Calibri"/>
                <w:i/>
                <w:sz w:val="18"/>
                <w:szCs w:val="18"/>
              </w:rPr>
              <w:t>N</w:t>
            </w:r>
            <w:r w:rsidRPr="00342EFE">
              <w:rPr>
                <w:rFonts w:ascii="Titillium" w:hAnsi="Titillium" w:cs="Calibri"/>
                <w:i/>
                <w:sz w:val="18"/>
                <w:szCs w:val="18"/>
              </w:rPr>
              <w:t>.B. Si ricorda che il decreto legge n. 76/20, convertito in legge n. 120/20, all</w:t>
            </w:r>
            <w:r w:rsidRPr="00342EFE">
              <w:rPr>
                <w:rFonts w:ascii="Titillium" w:hAnsi="Titillium" w:cs="Calibri" w:hint="eastAsia"/>
                <w:i/>
                <w:sz w:val="18"/>
                <w:szCs w:val="18"/>
              </w:rPr>
              <w:t>’</w:t>
            </w:r>
            <w:r w:rsidRPr="00342EFE">
              <w:rPr>
                <w:rFonts w:ascii="Titillium" w:hAnsi="Titillium" w:cs="Calibri"/>
                <w:i/>
                <w:sz w:val="18"/>
                <w:szCs w:val="18"/>
              </w:rPr>
              <w:t xml:space="preserve">articolo 2, comma 4, per i servizi e le forniture ivi indicate, ha previsto che per le procedure avviate entro il 31 dicembre 2021 </w:t>
            </w:r>
            <w:r>
              <w:rPr>
                <w:rFonts w:ascii="Titillium" w:hAnsi="Titillium" w:cs="Calibri"/>
                <w:i/>
                <w:sz w:val="18"/>
                <w:szCs w:val="18"/>
              </w:rPr>
              <w:t>le stazioni appaltanti,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Pr="00342EFE">
              <w:rPr>
                <w:rFonts w:ascii="Titillium" w:hAnsi="Titillium" w:cs="Calibri"/>
                <w:i/>
                <w:sz w:val="18"/>
                <w:szCs w:val="18"/>
              </w:rPr>
              <w:t>. Tra le norme fatte salve non figura quella relativa all</w:t>
            </w:r>
            <w:r w:rsidRPr="00342EFE">
              <w:rPr>
                <w:rFonts w:ascii="Titillium" w:hAnsi="Titillium" w:cs="Calibri" w:hint="eastAsia"/>
                <w:i/>
                <w:sz w:val="18"/>
                <w:szCs w:val="18"/>
              </w:rPr>
              <w:t>’</w:t>
            </w:r>
            <w:r w:rsidRPr="00342EFE">
              <w:rPr>
                <w:rFonts w:ascii="Titillium" w:hAnsi="Titillium" w:cs="Calibri"/>
                <w:i/>
                <w:sz w:val="18"/>
                <w:szCs w:val="18"/>
              </w:rPr>
              <w:t xml:space="preserve">avvalimento. Pertanto, per </w:t>
            </w:r>
            <w:r>
              <w:rPr>
                <w:rFonts w:ascii="Titillium" w:hAnsi="Titillium" w:cs="Calibri"/>
                <w:i/>
                <w:sz w:val="18"/>
                <w:szCs w:val="18"/>
              </w:rPr>
              <w:t>l’affidamento de</w:t>
            </w:r>
            <w:r w:rsidRPr="00342EFE">
              <w:rPr>
                <w:rFonts w:ascii="Titillium" w:hAnsi="Titillium" w:cs="Calibri"/>
                <w:i/>
                <w:sz w:val="18"/>
                <w:szCs w:val="18"/>
              </w:rPr>
              <w:t xml:space="preserve">i servizi e </w:t>
            </w:r>
            <w:r>
              <w:rPr>
                <w:rFonts w:ascii="Titillium" w:hAnsi="Titillium" w:cs="Calibri"/>
                <w:i/>
                <w:sz w:val="18"/>
                <w:szCs w:val="18"/>
              </w:rPr>
              <w:t xml:space="preserve"> del</w:t>
            </w:r>
            <w:r w:rsidRPr="00342EFE">
              <w:rPr>
                <w:rFonts w:ascii="Titillium" w:hAnsi="Titillium" w:cs="Calibri"/>
                <w:i/>
                <w:sz w:val="18"/>
                <w:szCs w:val="18"/>
              </w:rPr>
              <w:t>le f</w:t>
            </w:r>
            <w:r>
              <w:rPr>
                <w:rFonts w:ascii="Titillium" w:hAnsi="Titillium" w:cs="Calibri"/>
                <w:i/>
                <w:sz w:val="18"/>
                <w:szCs w:val="18"/>
              </w:rPr>
              <w:t>orniture di cui sopra le stazioni appaltanti possono applicare  direttamente le disposizioni comunitarie.</w:t>
            </w:r>
          </w:p>
        </w:tc>
      </w:tr>
    </w:tbl>
    <w:p w14:paraId="5D933A30" w14:textId="1E50C6DF" w:rsidR="004C53A8" w:rsidRDefault="00870286">
      <w:pPr>
        <w:pStyle w:val="Titolo2"/>
        <w:numPr>
          <w:ilvl w:val="0"/>
          <w:numId w:val="4"/>
        </w:numPr>
        <w:ind w:left="357" w:hanging="357"/>
      </w:pPr>
      <w:bookmarkStart w:id="1709" w:name="_Toc406058375"/>
      <w:bookmarkStart w:id="1710" w:name="_Toc403471269"/>
      <w:bookmarkStart w:id="1711" w:name="_Toc397422862"/>
      <w:bookmarkStart w:id="1712" w:name="_Toc397346821"/>
      <w:bookmarkStart w:id="1713" w:name="_Toc393706906"/>
      <w:bookmarkStart w:id="1714" w:name="_Toc393700833"/>
      <w:bookmarkStart w:id="1715" w:name="_Toc393283174"/>
      <w:bookmarkStart w:id="1716" w:name="_Toc393272658"/>
      <w:bookmarkStart w:id="1717" w:name="_Toc393272600"/>
      <w:bookmarkStart w:id="1718" w:name="_Toc393187844"/>
      <w:bookmarkStart w:id="1719" w:name="_Toc393112127"/>
      <w:bookmarkStart w:id="1720" w:name="_Toc393110563"/>
      <w:bookmarkStart w:id="1721" w:name="_Toc392577496"/>
      <w:bookmarkStart w:id="1722" w:name="_Toc391036055"/>
      <w:bookmarkStart w:id="1723" w:name="_Toc391035982"/>
      <w:bookmarkStart w:id="1724" w:name="_Toc380501869"/>
      <w:bookmarkStart w:id="1725" w:name="_Toc354038180"/>
      <w:bookmarkStart w:id="1726" w:name="_Toc416423361"/>
      <w:bookmarkStart w:id="1727" w:name="_Toc406754176"/>
      <w:bookmarkStart w:id="1728" w:name="_Toc95495894"/>
      <w:r>
        <w:rPr>
          <w:rFonts w:ascii="Titillium" w:hAnsi="Titillium"/>
          <w:sz w:val="18"/>
          <w:szCs w:val="18"/>
        </w:rPr>
        <w:t>SUBAPPALTO</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r>
        <w:rPr>
          <w:rFonts w:ascii="Titillium" w:hAnsi="Titillium"/>
          <w:sz w:val="18"/>
          <w:szCs w:val="18"/>
          <w:lang w:val="it-IT"/>
        </w:rPr>
        <w:t xml:space="preserve">   </w:t>
      </w:r>
    </w:p>
    <w:p w14:paraId="1E210A07" w14:textId="332D300A" w:rsidR="00D4022F" w:rsidRPr="00D4022F" w:rsidRDefault="00870286" w:rsidP="00D4022F">
      <w:pPr>
        <w:spacing w:before="60" w:after="60"/>
        <w:rPr>
          <w:rFonts w:ascii="Titillium" w:hAnsi="Titillium" w:cs="Calibri"/>
          <w:sz w:val="18"/>
          <w:szCs w:val="18"/>
        </w:rPr>
      </w:pPr>
      <w:r>
        <w:rPr>
          <w:rFonts w:ascii="Titillium" w:hAnsi="Titillium" w:cs="Calibri"/>
          <w:sz w:val="18"/>
          <w:szCs w:val="18"/>
        </w:rPr>
        <w:t>Non può essere affidata in subappalto l’integrale esecuzione del contratto.</w:t>
      </w:r>
      <w:r w:rsidR="00D4022F">
        <w:rPr>
          <w:rFonts w:ascii="Titillium" w:hAnsi="Titillium" w:cs="Calibri"/>
          <w:sz w:val="18"/>
          <w:szCs w:val="18"/>
        </w:rPr>
        <w:t xml:space="preserve"> </w:t>
      </w:r>
      <w:r w:rsidR="00D4022F" w:rsidRPr="00675EF0">
        <w:rPr>
          <w:rFonts w:ascii="Titillium" w:hAnsi="Titillium" w:cs="Calibri"/>
          <w:b/>
          <w:i/>
          <w:sz w:val="18"/>
          <w:szCs w:val="18"/>
        </w:rPr>
        <w:t>[</w:t>
      </w:r>
      <w:r w:rsidR="00C06B88">
        <w:rPr>
          <w:rFonts w:ascii="Titillium" w:hAnsi="Titillium" w:cs="Calibri"/>
          <w:b/>
          <w:i/>
          <w:sz w:val="18"/>
          <w:szCs w:val="18"/>
        </w:rPr>
        <w:t>N</w:t>
      </w:r>
      <w:r w:rsidR="00D4022F" w:rsidRPr="00A059A3">
        <w:rPr>
          <w:rFonts w:ascii="Titillium" w:hAnsi="Titillium" w:cs="Calibri"/>
          <w:b/>
          <w:i/>
          <w:sz w:val="18"/>
          <w:szCs w:val="18"/>
        </w:rPr>
        <w:t>el caso di contratti aventi ad oggetto servizi ad alta intensità di manodopera</w:t>
      </w:r>
      <w:r w:rsidR="00D4022F" w:rsidRPr="00675EF0">
        <w:rPr>
          <w:rFonts w:ascii="Titillium" w:hAnsi="Titillium" w:cs="Calibri"/>
          <w:b/>
          <w:i/>
          <w:sz w:val="18"/>
          <w:szCs w:val="18"/>
        </w:rPr>
        <w:t>]</w:t>
      </w:r>
      <w:r w:rsidR="00D4022F" w:rsidRPr="00D4022F">
        <w:rPr>
          <w:rFonts w:ascii="Titillium" w:hAnsi="Titillium" w:cs="Calibri"/>
          <w:sz w:val="18"/>
          <w:szCs w:val="18"/>
        </w:rPr>
        <w:t xml:space="preserve"> La prevalente esecuzione del contratto è riservata all’affidatario, trattandosi di contratto ad alta intensità di manodopera.</w:t>
      </w:r>
    </w:p>
    <w:p w14:paraId="742C1A34" w14:textId="26380B2E" w:rsidR="004C53A8" w:rsidRDefault="00D4022F" w:rsidP="00D4022F">
      <w:pPr>
        <w:spacing w:before="60" w:after="60"/>
      </w:pPr>
      <w:r w:rsidRPr="00A059A3">
        <w:rPr>
          <w:rFonts w:ascii="Titillium" w:hAnsi="Titillium" w:cs="Calibri"/>
          <w:b/>
          <w:i/>
          <w:sz w:val="18"/>
          <w:szCs w:val="18"/>
        </w:rPr>
        <w:t>[Eventuale</w:t>
      </w:r>
      <w:r w:rsidRPr="00D4022F">
        <w:rPr>
          <w:rFonts w:ascii="Titillium" w:hAnsi="Titillium" w:cs="Calibri"/>
          <w:sz w:val="18"/>
          <w:szCs w:val="18"/>
        </w:rPr>
        <w:t>,</w:t>
      </w:r>
      <w:r>
        <w:rPr>
          <w:rFonts w:ascii="Titillium" w:hAnsi="Titillium" w:cs="Calibri"/>
          <w:sz w:val="18"/>
          <w:szCs w:val="18"/>
        </w:rPr>
        <w:t xml:space="preserve"> </w:t>
      </w:r>
      <w:r w:rsidRPr="00A059A3">
        <w:rPr>
          <w:rFonts w:ascii="Titillium" w:hAnsi="Titillium" w:cs="Calibri"/>
          <w:b/>
          <w:i/>
          <w:sz w:val="18"/>
          <w:szCs w:val="18"/>
        </w:rPr>
        <w:t xml:space="preserve">se - in ragione delle caratteristiche delle prestazioni oggetto dell’appalto – la stazione appaltante intende  riservare una o più prestazioni all’affidatario </w:t>
      </w:r>
      <w:r w:rsidR="00C95AAE" w:rsidRPr="00A059A3">
        <w:rPr>
          <w:rFonts w:ascii="Titillium" w:hAnsi="Titillium" w:cs="Calibri"/>
          <w:b/>
          <w:i/>
          <w:sz w:val="18"/>
          <w:szCs w:val="18"/>
        </w:rPr>
        <w:t xml:space="preserve">avendo preventivamente motivato sul punto </w:t>
      </w:r>
      <w:r w:rsidRPr="00A059A3">
        <w:rPr>
          <w:rFonts w:ascii="Titillium" w:hAnsi="Titillium" w:cs="Calibri"/>
          <w:b/>
          <w:i/>
          <w:sz w:val="18"/>
          <w:szCs w:val="18"/>
        </w:rPr>
        <w:t>nella determina a contrarre]</w:t>
      </w:r>
      <w:r w:rsidRPr="00D4022F">
        <w:rPr>
          <w:rFonts w:ascii="Titillium" w:hAnsi="Titillium" w:cs="Calibri"/>
          <w:sz w:val="18"/>
          <w:szCs w:val="18"/>
        </w:rPr>
        <w:t xml:space="preserve"> L’affidatario deve eseguire direttamente le seguenti prestazioni:</w:t>
      </w:r>
      <w:r w:rsidR="00C06B88">
        <w:rPr>
          <w:rFonts w:ascii="Titillium" w:hAnsi="Titillium" w:cs="Calibri"/>
          <w:sz w:val="18"/>
          <w:szCs w:val="18"/>
        </w:rPr>
        <w:t xml:space="preserve"> </w:t>
      </w:r>
      <w:r>
        <w:rPr>
          <w:rFonts w:ascii="Titillium" w:hAnsi="Titillium" w:cs="Calibri"/>
          <w:sz w:val="18"/>
          <w:szCs w:val="18"/>
        </w:rPr>
        <w:t xml:space="preserve">… </w:t>
      </w:r>
      <w:r w:rsidRPr="00675EF0">
        <w:rPr>
          <w:rFonts w:ascii="Titillium" w:hAnsi="Titillium" w:cs="Calibri"/>
          <w:i/>
          <w:sz w:val="18"/>
          <w:szCs w:val="18"/>
        </w:rPr>
        <w:t>[</w:t>
      </w:r>
      <w:r w:rsidRPr="00A46C0B">
        <w:rPr>
          <w:rFonts w:ascii="Titillium" w:hAnsi="Titillium" w:cs="Calibri"/>
          <w:i/>
          <w:sz w:val="18"/>
          <w:szCs w:val="18"/>
        </w:rPr>
        <w:t>indicare quali, tenuto conto ad esempio della natura, della complessità delle prestazioni o delle lavorazioni da effettuare, dell’esigenza di rafforzare il controllo delle attività nei luoghi di lavoro e di garantire una più intensa tutela delle condizioni di lavoro e della salute e sicurezza dei lavoratori, di prevenire il rischio di infiltrazioni criminali</w:t>
      </w:r>
      <w:r w:rsidRPr="00675EF0">
        <w:rPr>
          <w:rFonts w:ascii="Titillium" w:hAnsi="Titillium" w:cs="Calibri"/>
          <w:i/>
          <w:sz w:val="18"/>
          <w:szCs w:val="18"/>
        </w:rPr>
        <w:t>]</w:t>
      </w:r>
      <w:r>
        <w:rPr>
          <w:rFonts w:ascii="Titillium" w:hAnsi="Titillium" w:cs="Calibri"/>
          <w:sz w:val="18"/>
          <w:szCs w:val="18"/>
        </w:rPr>
        <w:t xml:space="preserve">  </w:t>
      </w:r>
      <w:r w:rsidRPr="00A059A3">
        <w:rPr>
          <w:rFonts w:ascii="Titillium" w:hAnsi="Titillium" w:cs="Calibri"/>
          <w:i/>
          <w:sz w:val="18"/>
          <w:szCs w:val="18"/>
        </w:rPr>
        <w:t>[eventuale, ove si intenda limitare quantitativamente] nella misura massima del … % [indicare la quota  tenuto conto di quanto sopra specificato nonché dell’esigenza di assicurare l’apertura del mercato alle piccole e medie imprese]</w:t>
      </w:r>
      <w:r>
        <w:rPr>
          <w:rFonts w:ascii="Titillium" w:hAnsi="Titillium" w:cs="Calibri"/>
          <w:sz w:val="18"/>
          <w:szCs w:val="18"/>
        </w:rPr>
        <w:t xml:space="preserve"> della prestazione </w:t>
      </w:r>
      <w:r w:rsidRPr="00D4022F">
        <w:rPr>
          <w:rFonts w:ascii="Titillium" w:hAnsi="Titillium" w:cs="Calibri"/>
          <w:sz w:val="18"/>
          <w:szCs w:val="18"/>
        </w:rPr>
        <w:t>.</w:t>
      </w:r>
    </w:p>
    <w:p w14:paraId="27E0CCC7" w14:textId="67AF4A5F" w:rsidR="004C53A8" w:rsidRDefault="00870286">
      <w:pPr>
        <w:spacing w:before="60" w:after="60"/>
      </w:pPr>
      <w:r>
        <w:rPr>
          <w:rFonts w:ascii="Titillium" w:hAnsi="Titillium" w:cs="Calibri"/>
          <w:sz w:val="18"/>
          <w:szCs w:val="18"/>
        </w:rPr>
        <w:t>Il concorrente indica all’atto dell’offerta le parti</w:t>
      </w:r>
      <w:r w:rsidR="00D4022F">
        <w:rPr>
          <w:rFonts w:ascii="Titillium" w:hAnsi="Titillium" w:cs="Calibri"/>
          <w:sz w:val="18"/>
          <w:szCs w:val="18"/>
        </w:rPr>
        <w:t xml:space="preserve"> </w:t>
      </w:r>
      <w:r>
        <w:rPr>
          <w:rFonts w:ascii="Titillium" w:hAnsi="Titillium" w:cs="Calibri"/>
          <w:sz w:val="18"/>
          <w:szCs w:val="18"/>
        </w:rPr>
        <w:t xml:space="preserve">del servizio/fornitura che intende subappaltare o concedere in cottimo. In </w:t>
      </w:r>
      <w:r w:rsidR="00041185">
        <w:rPr>
          <w:rFonts w:ascii="Titillium" w:hAnsi="Titillium" w:cs="Calibri"/>
          <w:sz w:val="18"/>
          <w:szCs w:val="18"/>
        </w:rPr>
        <w:t>caso di mancata indicazione delle parti da subappaltare</w:t>
      </w:r>
      <w:r>
        <w:rPr>
          <w:rFonts w:ascii="Titillium" w:hAnsi="Titillium" w:cs="Calibri"/>
          <w:sz w:val="18"/>
          <w:szCs w:val="18"/>
        </w:rPr>
        <w:t xml:space="preserve"> il subappalto </w:t>
      </w:r>
      <w:r w:rsidRPr="00291685">
        <w:rPr>
          <w:rFonts w:ascii="Titillium" w:hAnsi="Titillium" w:cs="Calibri"/>
          <w:sz w:val="18"/>
          <w:szCs w:val="18"/>
        </w:rPr>
        <w:t>è vietato.</w:t>
      </w:r>
      <w:r w:rsidR="00041185">
        <w:rPr>
          <w:rFonts w:ascii="Titillium" w:hAnsi="Titillium" w:cs="Calibri"/>
          <w:sz w:val="18"/>
          <w:szCs w:val="18"/>
        </w:rPr>
        <w:t xml:space="preserve"> </w:t>
      </w:r>
    </w:p>
    <w:p w14:paraId="62D36FB9" w14:textId="7F3FB2DE" w:rsidR="004C53A8" w:rsidRDefault="00870286">
      <w:r>
        <w:rPr>
          <w:rFonts w:ascii="Titillium" w:hAnsi="Titillium" w:cs="Calibri"/>
          <w:sz w:val="18"/>
          <w:szCs w:val="18"/>
        </w:rPr>
        <w:t>L’aggiudicatario e il subappaltatore sono responsabili in solido nei confronti della stazione appaltante dell’esecuzione delle prestazioni oggetto del contratto di subappalto</w:t>
      </w:r>
      <w:r w:rsidR="003069C1">
        <w:rPr>
          <w:rFonts w:ascii="Titillium" w:hAnsi="Titillium" w:cs="Calibri"/>
          <w:sz w:val="18"/>
          <w:szCs w:val="18"/>
        </w:rPr>
        <w:t>.</w:t>
      </w:r>
    </w:p>
    <w:p w14:paraId="6471EB4A" w14:textId="77777777" w:rsidR="004C53A8" w:rsidRDefault="00870286">
      <w:pPr>
        <w:pStyle w:val="Titolo2"/>
        <w:numPr>
          <w:ilvl w:val="0"/>
          <w:numId w:val="4"/>
        </w:numPr>
        <w:ind w:left="357" w:hanging="357"/>
      </w:pPr>
      <w:bookmarkStart w:id="1729" w:name="_Ref531264739"/>
      <w:bookmarkStart w:id="1730" w:name="_Ref531346857"/>
      <w:bookmarkStart w:id="1731" w:name="_Ref531346843"/>
      <w:bookmarkStart w:id="1732" w:name="_Toc95495895"/>
      <w:r>
        <w:rPr>
          <w:rFonts w:ascii="Titillium" w:hAnsi="Titillium" w:cs="Calibri"/>
          <w:sz w:val="18"/>
          <w:szCs w:val="18"/>
          <w:lang w:val="it-IT"/>
        </w:rPr>
        <w:t>GARANZIA PROVVISOR</w:t>
      </w:r>
      <w:r>
        <w:rPr>
          <w:rFonts w:ascii="Titillium" w:hAnsi="Titillium"/>
          <w:sz w:val="18"/>
          <w:szCs w:val="18"/>
        </w:rPr>
        <w:t>IA</w:t>
      </w:r>
      <w:bookmarkEnd w:id="1729"/>
      <w:bookmarkEnd w:id="1730"/>
      <w:bookmarkEnd w:id="1731"/>
      <w:bookmarkEnd w:id="1732"/>
    </w:p>
    <w:p w14:paraId="015C62FC" w14:textId="77777777" w:rsidR="004C53A8" w:rsidRDefault="00870286">
      <w:pPr>
        <w:spacing w:before="60" w:after="60"/>
      </w:pPr>
      <w:r>
        <w:rPr>
          <w:rFonts w:ascii="Titillium" w:hAnsi="Titillium" w:cs="Calibri"/>
          <w:sz w:val="18"/>
          <w:szCs w:val="18"/>
        </w:rPr>
        <w:t xml:space="preserve">L’offerta </w:t>
      </w:r>
      <w:r>
        <w:rPr>
          <w:rFonts w:ascii="Titillium" w:hAnsi="Titillium" w:cs="Calibri"/>
          <w:i/>
          <w:sz w:val="18"/>
          <w:szCs w:val="18"/>
        </w:rPr>
        <w:t xml:space="preserve">[eventualmente: </w:t>
      </w:r>
      <w:r>
        <w:rPr>
          <w:rFonts w:ascii="Titillium" w:hAnsi="Titillium" w:cs="Calibri"/>
          <w:sz w:val="18"/>
          <w:szCs w:val="18"/>
        </w:rPr>
        <w:t>“per ciascun lotto”</w:t>
      </w:r>
      <w:r>
        <w:rPr>
          <w:rFonts w:ascii="Titillium" w:hAnsi="Titillium" w:cs="Calibri"/>
          <w:i/>
          <w:sz w:val="18"/>
          <w:szCs w:val="18"/>
        </w:rPr>
        <w:t xml:space="preserve">] </w:t>
      </w:r>
      <w:r>
        <w:rPr>
          <w:rFonts w:ascii="Titillium" w:hAnsi="Titillium" w:cs="Calibri"/>
          <w:sz w:val="18"/>
          <w:szCs w:val="18"/>
        </w:rPr>
        <w:t>è corredata, a pena di esclusione,</w:t>
      </w:r>
      <w:r>
        <w:rPr>
          <w:rFonts w:ascii="Titillium" w:hAnsi="Titillium" w:cs="Calibri"/>
          <w:b/>
          <w:sz w:val="18"/>
          <w:szCs w:val="18"/>
        </w:rPr>
        <w:t xml:space="preserve"> </w:t>
      </w:r>
      <w:r>
        <w:rPr>
          <w:rFonts w:ascii="Titillium" w:hAnsi="Titillium" w:cs="Calibri"/>
          <w:sz w:val="18"/>
          <w:szCs w:val="18"/>
        </w:rPr>
        <w:t>da:</w:t>
      </w:r>
    </w:p>
    <w:p w14:paraId="504DFCA4" w14:textId="61604EC0" w:rsidR="004C53A8" w:rsidRDefault="00870286" w:rsidP="0022153A">
      <w:pPr>
        <w:pStyle w:val="Paragrafoelenco"/>
        <w:numPr>
          <w:ilvl w:val="0"/>
          <w:numId w:val="24"/>
        </w:numPr>
        <w:spacing w:before="60" w:after="60"/>
        <w:ind w:left="284" w:hanging="284"/>
      </w:pPr>
      <w:r w:rsidRPr="00291685">
        <w:rPr>
          <w:rFonts w:ascii="Titillium" w:hAnsi="Titillium" w:cs="Calibri"/>
          <w:sz w:val="18"/>
          <w:szCs w:val="18"/>
        </w:rPr>
        <w:t>una garanzia provvisoria</w:t>
      </w:r>
      <w:r>
        <w:rPr>
          <w:rFonts w:ascii="Titillium" w:hAnsi="Titillium" w:cs="Calibri"/>
          <w:sz w:val="18"/>
          <w:szCs w:val="18"/>
        </w:rPr>
        <w:t xml:space="preserve"> pari a ...</w:t>
      </w:r>
      <w:r w:rsidR="00E10143">
        <w:rPr>
          <w:rFonts w:ascii="Titillium" w:hAnsi="Titillium" w:cs="Calibri"/>
          <w:sz w:val="18"/>
          <w:szCs w:val="18"/>
        </w:rPr>
        <w:t xml:space="preserve"> </w:t>
      </w:r>
      <w:r>
        <w:rPr>
          <w:rFonts w:ascii="Titillium" w:hAnsi="Titillium" w:cs="Calibri"/>
          <w:i/>
          <w:sz w:val="18"/>
          <w:szCs w:val="18"/>
        </w:rPr>
        <w:t>[2% del prezzo base dell’appalto ovvero altra percentuale ai sensi dell’</w:t>
      </w:r>
      <w:r w:rsidR="00291685">
        <w:rPr>
          <w:rFonts w:ascii="Titillium" w:hAnsi="Titillium" w:cs="Calibri"/>
          <w:i/>
          <w:sz w:val="18"/>
          <w:szCs w:val="18"/>
        </w:rPr>
        <w:t>articolo</w:t>
      </w:r>
      <w:r>
        <w:rPr>
          <w:rFonts w:ascii="Titillium" w:hAnsi="Titillium" w:cs="Calibri"/>
          <w:i/>
          <w:sz w:val="18"/>
          <w:szCs w:val="18"/>
        </w:rPr>
        <w:t xml:space="preserve"> 93, comma 1 del Codice] </w:t>
      </w:r>
      <w:r>
        <w:rPr>
          <w:rFonts w:ascii="Titillium" w:hAnsi="Titillium" w:cs="Calibri"/>
          <w:sz w:val="18"/>
          <w:szCs w:val="18"/>
        </w:rPr>
        <w:t>e precisamente di importo pari ad € ...</w:t>
      </w:r>
      <w:r w:rsidR="00E10143">
        <w:rPr>
          <w:rFonts w:ascii="Titillium" w:hAnsi="Titillium" w:cs="Calibri"/>
          <w:sz w:val="18"/>
          <w:szCs w:val="18"/>
        </w:rPr>
        <w:t xml:space="preserve"> [</w:t>
      </w:r>
      <w:r w:rsidR="00E10143" w:rsidRPr="00E10143">
        <w:rPr>
          <w:rFonts w:ascii="Titillium" w:hAnsi="Titillium" w:cs="Calibri"/>
          <w:i/>
          <w:sz w:val="18"/>
          <w:szCs w:val="18"/>
        </w:rPr>
        <w:t>indicare</w:t>
      </w:r>
      <w:r w:rsidR="00E10143">
        <w:rPr>
          <w:rFonts w:ascii="Titillium" w:hAnsi="Titillium" w:cs="Calibri"/>
          <w:sz w:val="18"/>
          <w:szCs w:val="18"/>
        </w:rPr>
        <w:t>]</w:t>
      </w:r>
      <w:r w:rsidR="00291685">
        <w:rPr>
          <w:rFonts w:ascii="Titillium" w:hAnsi="Titillium" w:cs="Calibri"/>
          <w:sz w:val="18"/>
          <w:szCs w:val="18"/>
        </w:rPr>
        <w:t>. Si applicano le riduzioni di cui all’articolo</w:t>
      </w:r>
      <w:r>
        <w:rPr>
          <w:rFonts w:ascii="Titillium" w:hAnsi="Titillium" w:cs="Calibri"/>
          <w:sz w:val="18"/>
          <w:szCs w:val="18"/>
        </w:rPr>
        <w:t xml:space="preserve"> 93, comma 7 del Codice; </w:t>
      </w:r>
    </w:p>
    <w:p w14:paraId="5AE20807" w14:textId="38A94045" w:rsidR="004C53A8" w:rsidRDefault="00870286" w:rsidP="00291685">
      <w:pPr>
        <w:pBdr>
          <w:top w:val="single" w:sz="4" w:space="1" w:color="000000"/>
          <w:left w:val="single" w:sz="4" w:space="0" w:color="000000"/>
          <w:bottom w:val="single" w:sz="4" w:space="1" w:color="000000"/>
          <w:right w:val="single" w:sz="4" w:space="4" w:color="000000"/>
        </w:pBdr>
        <w:spacing w:before="60" w:after="60"/>
        <w:ind w:left="142"/>
        <w:rPr>
          <w:rFonts w:ascii="Titillium" w:eastAsia="Calibri" w:hAnsi="Titillium" w:cs="Calibri"/>
          <w:i/>
          <w:sz w:val="18"/>
          <w:szCs w:val="18"/>
          <w:lang w:eastAsia="it-IT"/>
        </w:rPr>
      </w:pPr>
      <w:r>
        <w:rPr>
          <w:rFonts w:ascii="Titillium" w:eastAsia="Calibri" w:hAnsi="Titillium" w:cs="Calibri"/>
          <w:i/>
          <w:sz w:val="18"/>
          <w:szCs w:val="18"/>
          <w:lang w:eastAsia="it-IT"/>
        </w:rPr>
        <w:t>N.B.</w:t>
      </w:r>
      <w:r w:rsidR="00955636">
        <w:rPr>
          <w:rFonts w:ascii="Titillium" w:eastAsia="Calibri" w:hAnsi="Titillium" w:cs="Calibri"/>
          <w:i/>
          <w:sz w:val="18"/>
          <w:szCs w:val="18"/>
          <w:lang w:eastAsia="it-IT"/>
        </w:rPr>
        <w:t xml:space="preserve"> A</w:t>
      </w:r>
      <w:r>
        <w:rPr>
          <w:rFonts w:ascii="Titillium" w:eastAsia="Calibri" w:hAnsi="Titillium" w:cs="Calibri"/>
          <w:i/>
          <w:sz w:val="18"/>
          <w:szCs w:val="18"/>
          <w:lang w:eastAsia="it-IT"/>
        </w:rPr>
        <w:t>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3594D5C7" w14:textId="4DCD8C9A" w:rsidR="004C53A8" w:rsidRDefault="00870286" w:rsidP="0022153A">
      <w:pPr>
        <w:pStyle w:val="Paragrafoelenco"/>
        <w:numPr>
          <w:ilvl w:val="0"/>
          <w:numId w:val="24"/>
        </w:numPr>
        <w:spacing w:before="60" w:after="60"/>
        <w:ind w:left="284" w:hanging="284"/>
      </w:pPr>
      <w:r w:rsidRPr="00291685">
        <w:rPr>
          <w:rFonts w:ascii="Titillium" w:hAnsi="Titillium" w:cs="Calibri"/>
          <w:sz w:val="18"/>
          <w:szCs w:val="18"/>
        </w:rPr>
        <w:t>una dichiarazione di impegno, da parte di un istituto bancario o assicurativo o altro soggetto di cui all’</w:t>
      </w:r>
      <w:r w:rsidR="00291685" w:rsidRPr="00291685">
        <w:rPr>
          <w:rFonts w:ascii="Titillium" w:hAnsi="Titillium" w:cs="Calibri"/>
          <w:sz w:val="18"/>
          <w:szCs w:val="18"/>
        </w:rPr>
        <w:t>articolo</w:t>
      </w:r>
      <w:r w:rsidRPr="00291685">
        <w:rPr>
          <w:rFonts w:ascii="Titillium" w:hAnsi="Titillium" w:cs="Calibri"/>
          <w:sz w:val="18"/>
          <w:szCs w:val="18"/>
        </w:rPr>
        <w:t xml:space="preserve"> 93, comma 3, del Codice, anche diverso da quello che ha rilasciato la garanzia provvisoria, a rilasciare garanzia fideiussoria definitiva</w:t>
      </w:r>
      <w:r>
        <w:rPr>
          <w:rFonts w:ascii="Titillium" w:hAnsi="Titillium" w:cs="Calibri"/>
          <w:sz w:val="18"/>
          <w:szCs w:val="18"/>
        </w:rPr>
        <w:t>, qualora il concorrente risulti affidatario. Tale dichiarazione di impegno non è richiesta alle</w:t>
      </w:r>
      <w:r w:rsidR="0002185F">
        <w:rPr>
          <w:rFonts w:ascii="Titillium" w:hAnsi="Titillium" w:cs="Calibri"/>
          <w:sz w:val="18"/>
          <w:szCs w:val="18"/>
        </w:rPr>
        <w:t xml:space="preserve"> </w:t>
      </w:r>
      <w:r>
        <w:rPr>
          <w:rFonts w:ascii="Titillium" w:hAnsi="Titillium" w:cs="Calibri"/>
          <w:sz w:val="18"/>
          <w:szCs w:val="18"/>
        </w:rPr>
        <w:t>microimprese, piccole e medie imprese e ai raggruppamenti temporanei o consorzi ordinari esclusivamente dalle medesime costituiti</w:t>
      </w:r>
      <w:r w:rsidR="00567DB9">
        <w:rPr>
          <w:rFonts w:ascii="Titillium" w:hAnsi="Titillium" w:cs="Calibri"/>
          <w:sz w:val="18"/>
          <w:szCs w:val="18"/>
        </w:rPr>
        <w:t>.</w:t>
      </w:r>
    </w:p>
    <w:p w14:paraId="29DA1381" w14:textId="17527340" w:rsidR="004C53A8" w:rsidRDefault="00870286">
      <w:pPr>
        <w:spacing w:before="60" w:after="60"/>
        <w:ind w:left="131"/>
        <w:rPr>
          <w:rFonts w:ascii="Calibri" w:hAnsi="Calibri" w:cs="Calibri"/>
          <w:sz w:val="20"/>
          <w:szCs w:val="20"/>
        </w:rPr>
      </w:pPr>
      <w:r w:rsidRPr="00BD31DB">
        <w:rPr>
          <w:rFonts w:ascii="Calibri" w:hAnsi="Calibri" w:cs="Calibri"/>
          <w:b/>
          <w:i/>
          <w:sz w:val="20"/>
          <w:szCs w:val="20"/>
        </w:rPr>
        <w:t>[</w:t>
      </w:r>
      <w:r w:rsidRPr="00BD31DB">
        <w:rPr>
          <w:rFonts w:ascii="Titillium" w:hAnsi="Titillium" w:cs="Calibri"/>
          <w:b/>
          <w:bCs/>
          <w:i/>
          <w:sz w:val="18"/>
          <w:szCs w:val="18"/>
        </w:rPr>
        <w:t>Eventuale nell’ipotesi di gara divisa in più lotti</w:t>
      </w:r>
      <w:r w:rsidRPr="00BD31DB">
        <w:rPr>
          <w:rFonts w:ascii="Titillium" w:hAnsi="Titillium" w:cs="Calibri"/>
          <w:b/>
          <w:i/>
          <w:sz w:val="18"/>
          <w:szCs w:val="18"/>
        </w:rPr>
        <w:t>]</w:t>
      </w:r>
      <w:r>
        <w:rPr>
          <w:rFonts w:ascii="Titillium" w:hAnsi="Titillium" w:cs="Calibri"/>
          <w:sz w:val="18"/>
          <w:szCs w:val="18"/>
        </w:rPr>
        <w:t xml:space="preserve"> In caso di partecipazione a più lotti sono prestate tante distinte ed autonome garanzie provvisorie e impegni al rilascio della definitiva quanti sono i lotti cui si intende partecipare.</w:t>
      </w:r>
      <w:r>
        <w:rPr>
          <w:rFonts w:ascii="Calibri" w:hAnsi="Calibri" w:cs="Calibri"/>
          <w:sz w:val="20"/>
          <w:szCs w:val="20"/>
        </w:rPr>
        <w:t xml:space="preserve"> </w:t>
      </w:r>
    </w:p>
    <w:tbl>
      <w:tblPr>
        <w:tblStyle w:val="Grigliatabella"/>
        <w:tblW w:w="0" w:type="auto"/>
        <w:tblInd w:w="131" w:type="dxa"/>
        <w:tblLook w:val="04A0" w:firstRow="1" w:lastRow="0" w:firstColumn="1" w:lastColumn="0" w:noHBand="0" w:noVBand="1"/>
      </w:tblPr>
      <w:tblGrid>
        <w:gridCol w:w="9079"/>
      </w:tblGrid>
      <w:tr w:rsidR="009949E1" w:rsidRPr="009949E1" w14:paraId="30F32BBD" w14:textId="77777777" w:rsidTr="009949E1">
        <w:tc>
          <w:tcPr>
            <w:tcW w:w="9210" w:type="dxa"/>
          </w:tcPr>
          <w:p w14:paraId="4BF92AFE" w14:textId="7A4EB5ED" w:rsidR="009949E1" w:rsidRPr="00F200D9" w:rsidRDefault="009949E1" w:rsidP="00780944">
            <w:pPr>
              <w:spacing w:before="60" w:after="60"/>
              <w:rPr>
                <w:rFonts w:ascii="Titillium" w:hAnsi="Titillium" w:cs="Calibri"/>
                <w:i/>
                <w:sz w:val="18"/>
                <w:szCs w:val="18"/>
              </w:rPr>
            </w:pPr>
            <w:r w:rsidRPr="00F200D9">
              <w:rPr>
                <w:rFonts w:ascii="Titillium" w:hAnsi="Titillium" w:cs="Calibri"/>
                <w:i/>
                <w:sz w:val="18"/>
                <w:szCs w:val="18"/>
              </w:rPr>
              <w:t>N.B</w:t>
            </w:r>
            <w:r w:rsidR="00955636" w:rsidRPr="00F200D9">
              <w:rPr>
                <w:rFonts w:ascii="Titillium" w:hAnsi="Titillium" w:cs="Calibri"/>
                <w:i/>
                <w:sz w:val="18"/>
                <w:szCs w:val="18"/>
              </w:rPr>
              <w:t>.</w:t>
            </w:r>
            <w:r w:rsidRPr="00F200D9">
              <w:rPr>
                <w:rFonts w:ascii="Titillium" w:hAnsi="Titillium" w:cs="Calibri"/>
                <w:i/>
                <w:sz w:val="18"/>
                <w:szCs w:val="18"/>
              </w:rPr>
              <w:t xml:space="preserve"> Nel caso di suddivisione in lotti l’importo della garanzia è commisurato al valore dei lotti aggiudicabili contemporaneamente. Nel caso in cui sia previsto un numero massimo di lotti aggiudicabili al medesimo operatore economico, il valore della garanzia è commisurato al numero massimo di lotti aggiudicabili.</w:t>
            </w:r>
          </w:p>
        </w:tc>
      </w:tr>
    </w:tbl>
    <w:p w14:paraId="050EAE81" w14:textId="77777777" w:rsidR="004C53A8" w:rsidRDefault="00870286">
      <w:pPr>
        <w:spacing w:before="120" w:after="60"/>
        <w:ind w:left="425" w:hanging="425"/>
      </w:pPr>
      <w:r>
        <w:rPr>
          <w:rFonts w:ascii="Titillium" w:hAnsi="Titillium" w:cs="Calibri"/>
          <w:sz w:val="18"/>
          <w:szCs w:val="18"/>
        </w:rPr>
        <w:t>La garanzia provvisoria è costituita, a scelta del concorrente:</w:t>
      </w:r>
    </w:p>
    <w:p w14:paraId="572B4342" w14:textId="16902D5B" w:rsidR="00EC088D" w:rsidRPr="00FD0C04" w:rsidRDefault="00EC088D" w:rsidP="00601972">
      <w:pPr>
        <w:pStyle w:val="Paragrafoelenco"/>
        <w:numPr>
          <w:ilvl w:val="0"/>
          <w:numId w:val="38"/>
        </w:numPr>
        <w:spacing w:before="60" w:after="60"/>
        <w:ind w:left="284" w:hanging="284"/>
        <w:rPr>
          <w:rFonts w:ascii="Titillium" w:hAnsi="Titillium" w:cs="Calibri"/>
          <w:i/>
          <w:sz w:val="18"/>
          <w:szCs w:val="18"/>
        </w:rPr>
      </w:pPr>
      <w:r w:rsidRPr="00567DB9">
        <w:rPr>
          <w:rFonts w:ascii="Titillium" w:hAnsi="Titillium" w:cs="Calibri"/>
          <w:sz w:val="18"/>
          <w:szCs w:val="18"/>
        </w:rPr>
        <w:t>fermo restando il limite all’utilizzo del contante di cui all’articolo 49, comma l del decreto legislativo 21 novembre 2007 n. 231, in contanti, in assegni circolari, con bonifico, con versamento effettuato</w:t>
      </w:r>
      <w:r w:rsidR="00FD0C04">
        <w:rPr>
          <w:rFonts w:ascii="Titillium" w:hAnsi="Titillium" w:cs="Calibri"/>
          <w:sz w:val="18"/>
          <w:szCs w:val="18"/>
        </w:rPr>
        <w:t xml:space="preserve"> …</w:t>
      </w:r>
      <w:r w:rsidRPr="00567DB9">
        <w:rPr>
          <w:rFonts w:ascii="Titillium" w:hAnsi="Titillium" w:cs="Calibri"/>
          <w:sz w:val="18"/>
          <w:szCs w:val="18"/>
        </w:rPr>
        <w:t xml:space="preserve"> </w:t>
      </w:r>
      <w:r w:rsidR="00FD0C04" w:rsidRPr="00291685">
        <w:rPr>
          <w:rFonts w:ascii="Titillium" w:hAnsi="Titillium" w:cs="Calibri"/>
          <w:sz w:val="18"/>
          <w:szCs w:val="18"/>
        </w:rPr>
        <w:t>[</w:t>
      </w:r>
      <w:r w:rsidR="00FD0C04" w:rsidRPr="00567DB9">
        <w:rPr>
          <w:rFonts w:ascii="Titillium" w:hAnsi="Titillium" w:cs="Calibri"/>
          <w:i/>
          <w:sz w:val="18"/>
          <w:szCs w:val="18"/>
        </w:rPr>
        <w:t xml:space="preserve">la stazione appaltante indica gli estremi per il deposito mediante bonifico </w:t>
      </w:r>
      <w:r w:rsidR="00FD0C04" w:rsidRPr="00FD0C04">
        <w:rPr>
          <w:rFonts w:ascii="Titillium" w:hAnsi="Titillium" w:cs="Calibri"/>
          <w:i/>
          <w:sz w:val="18"/>
          <w:szCs w:val="18"/>
        </w:rPr>
        <w:t xml:space="preserve">bancario sul conto corrente, </w:t>
      </w:r>
      <w:r w:rsidRPr="00FD0C04">
        <w:rPr>
          <w:rFonts w:ascii="Titillium" w:hAnsi="Titillium" w:cs="Calibri"/>
          <w:i/>
          <w:sz w:val="18"/>
          <w:szCs w:val="18"/>
        </w:rPr>
        <w:t>postale</w:t>
      </w:r>
      <w:r w:rsidR="00F635E0" w:rsidRPr="00FD0C04">
        <w:rPr>
          <w:rFonts w:ascii="Titillium" w:hAnsi="Titillium" w:cs="Calibri"/>
          <w:i/>
          <w:sz w:val="18"/>
          <w:szCs w:val="18"/>
        </w:rPr>
        <w:t xml:space="preserve"> o PagoPA</w:t>
      </w:r>
      <w:r w:rsidRPr="00FD0C04">
        <w:rPr>
          <w:rFonts w:ascii="Titillium" w:hAnsi="Titillium" w:cs="Calibri"/>
          <w:i/>
          <w:sz w:val="18"/>
          <w:szCs w:val="18"/>
        </w:rPr>
        <w:t>];</w:t>
      </w:r>
    </w:p>
    <w:p w14:paraId="56EF4C87" w14:textId="148ECCAC" w:rsidR="004C53A8" w:rsidRPr="00EC088D" w:rsidRDefault="00870286" w:rsidP="00601972">
      <w:pPr>
        <w:pStyle w:val="Paragrafoelenco"/>
        <w:numPr>
          <w:ilvl w:val="0"/>
          <w:numId w:val="38"/>
        </w:numPr>
        <w:spacing w:before="60" w:after="60"/>
        <w:ind w:left="284" w:hanging="284"/>
        <w:rPr>
          <w:rFonts w:ascii="Titillium" w:hAnsi="Titillium" w:cs="Calibri"/>
          <w:sz w:val="18"/>
          <w:szCs w:val="18"/>
        </w:rPr>
      </w:pPr>
      <w:r w:rsidRPr="00567DB9">
        <w:rPr>
          <w:rFonts w:ascii="Titillium" w:hAnsi="Titillium" w:cs="Calibri"/>
          <w:sz w:val="18"/>
          <w:szCs w:val="18"/>
        </w:rPr>
        <w:t>in titoli del debito pubblico garantiti dallo Stato depositati presso una sezione di tesoreria provinciale o presso le aziende</w:t>
      </w:r>
      <w:r w:rsidR="00EC088D">
        <w:rPr>
          <w:rFonts w:ascii="Titillium" w:hAnsi="Titillium" w:cs="Calibri"/>
          <w:sz w:val="18"/>
          <w:szCs w:val="18"/>
        </w:rPr>
        <w:t xml:space="preserve"> autorizzate, a titolo di pegno</w:t>
      </w:r>
      <w:r w:rsidRPr="00567DB9">
        <w:rPr>
          <w:rFonts w:ascii="Titillium" w:hAnsi="Titillium" w:cs="Calibri"/>
          <w:sz w:val="18"/>
          <w:szCs w:val="18"/>
        </w:rPr>
        <w:t xml:space="preserve"> a favore </w:t>
      </w:r>
      <w:r w:rsidR="00EC088D">
        <w:rPr>
          <w:rFonts w:ascii="Titillium" w:hAnsi="Titillium" w:cs="Calibri"/>
          <w:sz w:val="18"/>
          <w:szCs w:val="18"/>
        </w:rPr>
        <w:t>dell’amministrazione</w:t>
      </w:r>
      <w:r w:rsidRPr="00567DB9">
        <w:rPr>
          <w:rFonts w:ascii="Titillium" w:hAnsi="Titillium" w:cs="Calibri"/>
          <w:sz w:val="18"/>
          <w:szCs w:val="18"/>
        </w:rPr>
        <w:t>; il valore deve essere al corso del giorno del deposito;</w:t>
      </w:r>
    </w:p>
    <w:p w14:paraId="3557BDB2" w14:textId="54EB1959" w:rsidR="004C53A8" w:rsidRDefault="00870286" w:rsidP="00601972">
      <w:pPr>
        <w:pStyle w:val="Paragrafoelenco"/>
        <w:numPr>
          <w:ilvl w:val="0"/>
          <w:numId w:val="38"/>
        </w:numPr>
        <w:spacing w:before="60" w:after="60"/>
        <w:ind w:left="284" w:hanging="284"/>
      </w:pPr>
      <w:r w:rsidRPr="00567DB9">
        <w:rPr>
          <w:rFonts w:ascii="Titillium" w:hAnsi="Titillium" w:cs="Calibri"/>
          <w:sz w:val="18"/>
          <w:szCs w:val="24"/>
        </w:rPr>
        <w:t>da fideiussione bancaria o assicurativa rilasciata da imprese bancarie o assicurative che: risponde ai requisiti di solvibilità previsti dalle leggi che ne disciplinano le rispettive attività o rilasciata da un intermediario finanziario iscritto nell'albo di cui all'</w:t>
      </w:r>
      <w:hyperlink r:id="rId9" w:anchor="107" w:history="1">
        <w:r w:rsidRPr="00567DB9">
          <w:rPr>
            <w:rFonts w:ascii="Titillium" w:hAnsi="Titillium" w:cs="Calibri"/>
            <w:sz w:val="18"/>
            <w:szCs w:val="24"/>
          </w:rPr>
          <w:t>articolo 106 del decreto legislativo 1 settembre 1993, n. 385</w:t>
        </w:r>
      </w:hyperlink>
      <w:r w:rsidRPr="00567DB9">
        <w:rPr>
          <w:szCs w:val="24"/>
        </w:rPr>
        <w:t xml:space="preserve">; </w:t>
      </w:r>
      <w:r w:rsidRPr="00567DB9">
        <w:rPr>
          <w:rFonts w:ascii="Titillium" w:hAnsi="Titillium" w:cs="Calibri"/>
          <w:sz w:val="18"/>
          <w:szCs w:val="24"/>
        </w:rPr>
        <w:t>svolge in via esclusiva o prevalente attività di rilascio di garanzie; è sottoposta a revisione contabile da parte di una società di revisione iscritta nell'albo previsto dall'articolo 161 del decreto legi</w:t>
      </w:r>
      <w:r w:rsidR="005F328F">
        <w:rPr>
          <w:rFonts w:ascii="Titillium" w:hAnsi="Titillium" w:cs="Calibri"/>
          <w:sz w:val="18"/>
          <w:szCs w:val="24"/>
        </w:rPr>
        <w:t>slativo 24 febbraio 1998, n. 58</w:t>
      </w:r>
      <w:r w:rsidRPr="00567DB9">
        <w:rPr>
          <w:rFonts w:ascii="Titillium" w:hAnsi="Titillium" w:cs="Calibri"/>
          <w:sz w:val="18"/>
          <w:szCs w:val="24"/>
        </w:rPr>
        <w:t>; ha i requisiti minimi di solvibilità richiesti dalla vigente normativa bancaria assicurativa rispondano ai requisiti di cui all’</w:t>
      </w:r>
      <w:r w:rsidR="00291685">
        <w:rPr>
          <w:rFonts w:ascii="Titillium" w:hAnsi="Titillium" w:cs="Calibri"/>
          <w:sz w:val="18"/>
          <w:szCs w:val="24"/>
        </w:rPr>
        <w:t>articolo</w:t>
      </w:r>
      <w:r w:rsidRPr="00567DB9">
        <w:rPr>
          <w:rFonts w:ascii="Titillium" w:hAnsi="Titillium" w:cs="Calibri"/>
          <w:sz w:val="18"/>
          <w:szCs w:val="24"/>
        </w:rPr>
        <w:t xml:space="preserve"> 93, comma 3 del Codice. Gli operatori economici, prima di procedere alla sottoscrizione della garanzia, sono tenuti a verificare che il soggetto garante sia in possesso dell’autorizzazione al rilascio di garanzie mediante accesso ai seguenti siti internet</w:t>
      </w:r>
      <w:r w:rsidRPr="00567DB9">
        <w:rPr>
          <w:rFonts w:ascii="Titillium" w:hAnsi="Titillium" w:cs="Calibri"/>
          <w:sz w:val="18"/>
          <w:szCs w:val="18"/>
        </w:rPr>
        <w:t>:</w:t>
      </w:r>
    </w:p>
    <w:p w14:paraId="437CEB8F" w14:textId="6D6C84BE" w:rsidR="00533FCD" w:rsidRDefault="00D372C4" w:rsidP="00533FCD">
      <w:pPr>
        <w:spacing w:before="60" w:after="60"/>
        <w:ind w:left="567"/>
        <w:rPr>
          <w:rFonts w:ascii="Titillium" w:hAnsi="Titillium" w:cs="Calibri"/>
          <w:sz w:val="18"/>
          <w:szCs w:val="18"/>
        </w:rPr>
      </w:pPr>
      <w:hyperlink r:id="rId10" w:history="1">
        <w:r w:rsidR="00533FCD" w:rsidRPr="00D56EAB">
          <w:rPr>
            <w:rStyle w:val="Collegamentoipertestuale"/>
            <w:rFonts w:ascii="Titillium" w:hAnsi="Titillium" w:cs="Calibri"/>
            <w:sz w:val="18"/>
            <w:szCs w:val="18"/>
          </w:rPr>
          <w:t>http://www.bancaditalia.it/compiti/vigilanza/intermediari/index.html</w:t>
        </w:r>
      </w:hyperlink>
    </w:p>
    <w:p w14:paraId="00EC03A0" w14:textId="42AF4CEC" w:rsidR="004C53A8" w:rsidRDefault="00D372C4">
      <w:pPr>
        <w:spacing w:before="60" w:after="60"/>
        <w:ind w:left="567"/>
        <w:rPr>
          <w:rFonts w:ascii="Titillium" w:hAnsi="Titillium" w:cs="Calibri"/>
          <w:sz w:val="18"/>
          <w:szCs w:val="18"/>
        </w:rPr>
      </w:pPr>
      <w:hyperlink r:id="rId11" w:history="1">
        <w:r w:rsidR="00533FCD" w:rsidRPr="00D56EAB">
          <w:rPr>
            <w:rStyle w:val="Collegamentoipertestuale"/>
            <w:rFonts w:ascii="Titillium" w:hAnsi="Titillium" w:cs="Calibri"/>
            <w:sz w:val="18"/>
            <w:szCs w:val="18"/>
          </w:rPr>
          <w:t>http://www.bancaditalia.it/compiti/vigilanza/avvisi-pub/garanzie-finanziarie/</w:t>
        </w:r>
      </w:hyperlink>
    </w:p>
    <w:p w14:paraId="7953D2B0" w14:textId="5FF199F0" w:rsidR="004C53A8" w:rsidRDefault="00D372C4">
      <w:pPr>
        <w:spacing w:before="60" w:after="60"/>
        <w:ind w:left="567"/>
        <w:rPr>
          <w:rFonts w:ascii="Titillium" w:hAnsi="Titillium" w:cs="Calibri"/>
          <w:sz w:val="18"/>
          <w:szCs w:val="18"/>
        </w:rPr>
      </w:pPr>
      <w:hyperlink r:id="rId12" w:history="1">
        <w:r w:rsidR="00533FCD" w:rsidRPr="00D56EAB">
          <w:rPr>
            <w:rStyle w:val="Collegamentoipertestuale"/>
            <w:rFonts w:ascii="Titillium" w:hAnsi="Titillium" w:cs="Calibri"/>
            <w:sz w:val="18"/>
            <w:szCs w:val="18"/>
          </w:rPr>
          <w:t>http://www.bancaditalia.it/compiti/vigilanza/avvisi-pub/soggetti-non- legittimati/Intermediari_non_abilitati.pdf</w:t>
        </w:r>
      </w:hyperlink>
    </w:p>
    <w:p w14:paraId="4FD7605D" w14:textId="2C3EA1CA" w:rsidR="00533FCD" w:rsidRDefault="00D372C4" w:rsidP="00533FCD">
      <w:pPr>
        <w:spacing w:before="60" w:after="60"/>
        <w:ind w:left="567"/>
        <w:rPr>
          <w:rFonts w:ascii="Titillium" w:hAnsi="Titillium" w:cs="Calibri"/>
          <w:sz w:val="18"/>
          <w:szCs w:val="18"/>
        </w:rPr>
      </w:pPr>
      <w:hyperlink r:id="rId13" w:history="1">
        <w:r w:rsidR="00533FCD" w:rsidRPr="00D56EAB">
          <w:rPr>
            <w:rStyle w:val="Collegamentoipertestuale"/>
            <w:rFonts w:ascii="Titillium" w:hAnsi="Titillium" w:cs="Calibri"/>
            <w:sz w:val="18"/>
            <w:szCs w:val="18"/>
          </w:rPr>
          <w:t>http://www.ivass.it/ivass/imprese_jsp/HomePage.jsp</w:t>
        </w:r>
      </w:hyperlink>
    </w:p>
    <w:tbl>
      <w:tblPr>
        <w:tblW w:w="8931" w:type="dxa"/>
        <w:tblInd w:w="279" w:type="dxa"/>
        <w:tblLook w:val="04A0" w:firstRow="1" w:lastRow="0" w:firstColumn="1" w:lastColumn="0" w:noHBand="0" w:noVBand="1"/>
      </w:tblPr>
      <w:tblGrid>
        <w:gridCol w:w="8931"/>
      </w:tblGrid>
      <w:tr w:rsidR="004C53A8" w14:paraId="0B35885C" w14:textId="77777777" w:rsidTr="00291685">
        <w:tc>
          <w:tcPr>
            <w:tcW w:w="8931" w:type="dxa"/>
            <w:tcBorders>
              <w:top w:val="single" w:sz="4" w:space="0" w:color="000000"/>
              <w:left w:val="single" w:sz="4" w:space="0" w:color="000000"/>
              <w:bottom w:val="single" w:sz="4" w:space="0" w:color="000000"/>
              <w:right w:val="single" w:sz="4" w:space="0" w:color="000000"/>
            </w:tcBorders>
          </w:tcPr>
          <w:p w14:paraId="20CD9E10" w14:textId="48C81D01" w:rsidR="004C53A8" w:rsidRDefault="00870286" w:rsidP="005F328F">
            <w:pPr>
              <w:spacing w:before="60" w:after="60"/>
              <w:ind w:left="36"/>
              <w:rPr>
                <w:rFonts w:ascii="Titillium" w:hAnsi="Titillium" w:cs="Calibri"/>
                <w:i/>
                <w:sz w:val="18"/>
                <w:szCs w:val="18"/>
              </w:rPr>
            </w:pPr>
            <w:r>
              <w:rPr>
                <w:rFonts w:ascii="Titillium" w:hAnsi="Titillium" w:cs="Calibri"/>
                <w:i/>
                <w:sz w:val="18"/>
                <w:szCs w:val="18"/>
              </w:rPr>
              <w:t>N.B.: Si raccomanda di prendere visione del documento denominato “Garanzie finanziarie: suggerimenti per le pubbliche amministrazioni e altri beneficiari” al seguente link: https://www.anticorruzione.it/portal/public/classic/Comunicazione/News/_news?id=59f5bfef0a7780426d0ea4bcb3f2f6d6 al fine di evitare di accettare polizze false e/o irregolari perché emesse da soggetti non legittimati.</w:t>
            </w:r>
          </w:p>
        </w:tc>
      </w:tr>
    </w:tbl>
    <w:p w14:paraId="1FBCDBE9" w14:textId="1AB23BED" w:rsidR="004C53A8" w:rsidRPr="005F328F" w:rsidRDefault="002507BD" w:rsidP="00567DB9">
      <w:pPr>
        <w:spacing w:before="60" w:after="60"/>
        <w:ind w:left="360"/>
      </w:pPr>
      <w:r w:rsidRPr="005F328F">
        <w:rPr>
          <w:rFonts w:ascii="Titillium" w:hAnsi="Titillium" w:cs="Calibri"/>
          <w:sz w:val="18"/>
          <w:szCs w:val="18"/>
        </w:rPr>
        <w:t xml:space="preserve">La </w:t>
      </w:r>
      <w:r w:rsidR="00870286" w:rsidRPr="005F328F">
        <w:rPr>
          <w:rFonts w:ascii="Titillium" w:hAnsi="Titillium" w:cs="Calibri"/>
          <w:sz w:val="18"/>
          <w:szCs w:val="18"/>
        </w:rPr>
        <w:t>garanzia fideiussoria deve:</w:t>
      </w:r>
    </w:p>
    <w:p w14:paraId="2B4D2CBF"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contenere espressa menzione dell’oggetto del contratto di appalto e del soggetto garantito (stazione appaltante);</w:t>
      </w:r>
    </w:p>
    <w:p w14:paraId="4ABA7094" w14:textId="10A8E62B"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essere intestata a tutti gli operatori economici del costituito/costituendo raggruppamento temporaneo o consorzio ordinario o GEIE, ovvero a tutte le imprese retiste che partecipano alla gara ovvero, in caso di consorzi di cui all’</w:t>
      </w:r>
      <w:r w:rsidR="00291685">
        <w:rPr>
          <w:rFonts w:ascii="Titillium" w:hAnsi="Titillium" w:cs="Calibri"/>
          <w:sz w:val="18"/>
          <w:szCs w:val="18"/>
        </w:rPr>
        <w:t>articolo</w:t>
      </w:r>
      <w:r w:rsidR="00533FCD">
        <w:rPr>
          <w:rFonts w:ascii="Titillium" w:hAnsi="Titillium" w:cs="Calibri"/>
          <w:sz w:val="18"/>
          <w:szCs w:val="18"/>
        </w:rPr>
        <w:t xml:space="preserve"> 45, comma 2 lettere</w:t>
      </w:r>
      <w:r>
        <w:rPr>
          <w:rFonts w:ascii="Titillium" w:hAnsi="Titillium" w:cs="Calibri"/>
          <w:sz w:val="18"/>
          <w:szCs w:val="18"/>
        </w:rPr>
        <w:t xml:space="preserve"> b) e c) del Codice, al solo consorzio;</w:t>
      </w:r>
    </w:p>
    <w:p w14:paraId="6D7DCBC2" w14:textId="77777777" w:rsidR="004C53A8" w:rsidRDefault="00870286" w:rsidP="00601972">
      <w:pPr>
        <w:numPr>
          <w:ilvl w:val="2"/>
          <w:numId w:val="33"/>
        </w:numPr>
        <w:spacing w:before="60" w:after="60"/>
        <w:ind w:left="284" w:hanging="284"/>
      </w:pPr>
      <w:r>
        <w:rPr>
          <w:rFonts w:ascii="Titillium" w:hAnsi="Titillium" w:cs="Calibri"/>
          <w:sz w:val="18"/>
          <w:szCs w:val="18"/>
        </w:rPr>
        <w:t>essere conforme allo schema tipo approvato con decreto del Ministro dello sviluppo economico del 19 gennaio 2018 n. 31;</w:t>
      </w:r>
    </w:p>
    <w:p w14:paraId="0DFEC432" w14:textId="77777777" w:rsidR="004C53A8" w:rsidRDefault="00870286" w:rsidP="00601972">
      <w:pPr>
        <w:numPr>
          <w:ilvl w:val="2"/>
          <w:numId w:val="33"/>
        </w:numPr>
        <w:spacing w:before="60" w:after="60"/>
        <w:ind w:left="284" w:hanging="284"/>
      </w:pPr>
      <w:r>
        <w:rPr>
          <w:rFonts w:ascii="Titillium" w:hAnsi="Titillium" w:cs="Calibri"/>
          <w:sz w:val="18"/>
          <w:szCs w:val="18"/>
        </w:rPr>
        <w:t xml:space="preserve">avere validità per </w:t>
      </w:r>
      <w:r>
        <w:rPr>
          <w:rFonts w:ascii="Titillium" w:hAnsi="Titillium" w:cs="Calibri"/>
          <w:i/>
          <w:sz w:val="18"/>
          <w:szCs w:val="18"/>
        </w:rPr>
        <w:t xml:space="preserve">... </w:t>
      </w:r>
      <w:r>
        <w:rPr>
          <w:rFonts w:ascii="Titillium" w:hAnsi="Titillium" w:cs="Calibri"/>
          <w:sz w:val="18"/>
          <w:szCs w:val="18"/>
        </w:rPr>
        <w:t>giorni</w:t>
      </w:r>
      <w:r>
        <w:rPr>
          <w:rFonts w:ascii="Titillium" w:hAnsi="Titillium" w:cs="Calibri"/>
          <w:i/>
          <w:sz w:val="18"/>
          <w:szCs w:val="18"/>
        </w:rPr>
        <w:t xml:space="preserve"> [almeno 180 gg. - ovvero altro termine, in relazione alla durata prevista per il procedimento]</w:t>
      </w:r>
      <w:r>
        <w:rPr>
          <w:rFonts w:ascii="Titillium" w:hAnsi="Titillium" w:cs="Calibri"/>
          <w:sz w:val="18"/>
          <w:szCs w:val="18"/>
        </w:rPr>
        <w:t xml:space="preserve"> dalla data di presentazione dell’offerta; </w:t>
      </w:r>
    </w:p>
    <w:p w14:paraId="01B9693E"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 xml:space="preserve">prevedere espressamente: </w:t>
      </w:r>
    </w:p>
    <w:p w14:paraId="4107100B" w14:textId="46E36B42"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al beneficio della preventiva escussione del debitore principale di cui all’</w:t>
      </w:r>
      <w:r w:rsidR="00291685">
        <w:rPr>
          <w:rFonts w:ascii="Titillium" w:hAnsi="Titillium" w:cs="Calibri"/>
          <w:sz w:val="18"/>
          <w:szCs w:val="18"/>
        </w:rPr>
        <w:t>articolo</w:t>
      </w:r>
      <w:r>
        <w:rPr>
          <w:rFonts w:ascii="Titillium" w:hAnsi="Titillium" w:cs="Calibri"/>
          <w:sz w:val="18"/>
          <w:szCs w:val="18"/>
        </w:rPr>
        <w:t xml:space="preserve"> 1944 del codice civile; </w:t>
      </w:r>
    </w:p>
    <w:p w14:paraId="46FF4965" w14:textId="35081B3D"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ad eccepire la decorrenza dei termini di cui all’</w:t>
      </w:r>
      <w:r w:rsidR="00291685">
        <w:rPr>
          <w:rFonts w:ascii="Titillium" w:hAnsi="Titillium" w:cs="Calibri"/>
          <w:sz w:val="18"/>
          <w:szCs w:val="18"/>
        </w:rPr>
        <w:t>articolo</w:t>
      </w:r>
      <w:r>
        <w:rPr>
          <w:rFonts w:ascii="Titillium" w:hAnsi="Titillium" w:cs="Calibri"/>
          <w:sz w:val="18"/>
          <w:szCs w:val="18"/>
        </w:rPr>
        <w:t xml:space="preserve"> 1957, secondo comma, del codice civile; </w:t>
      </w:r>
    </w:p>
    <w:p w14:paraId="4AAF788A" w14:textId="19735B84" w:rsidR="004C53A8" w:rsidRDefault="00870286" w:rsidP="00601972">
      <w:pPr>
        <w:numPr>
          <w:ilvl w:val="3"/>
          <w:numId w:val="33"/>
        </w:numPr>
        <w:spacing w:before="60" w:after="60"/>
        <w:ind w:left="709" w:hanging="425"/>
      </w:pPr>
      <w:r>
        <w:rPr>
          <w:rFonts w:ascii="Titillium" w:hAnsi="Titillium" w:cs="Calibri"/>
          <w:sz w:val="18"/>
          <w:szCs w:val="18"/>
        </w:rPr>
        <w:t>l’operatività della stessa entro quindici giorni a semplice richiesta scritta della stazione appaltante</w:t>
      </w:r>
      <w:r w:rsidR="002507BD">
        <w:rPr>
          <w:rFonts w:ascii="Titillium" w:hAnsi="Titillium" w:cs="Calibri"/>
          <w:sz w:val="18"/>
          <w:szCs w:val="18"/>
        </w:rPr>
        <w:t>.</w:t>
      </w:r>
      <w:r>
        <w:rPr>
          <w:rFonts w:ascii="Titillium" w:hAnsi="Titillium" w:cs="Calibri"/>
          <w:sz w:val="18"/>
          <w:szCs w:val="18"/>
        </w:rPr>
        <w:t xml:space="preserve"> </w:t>
      </w:r>
    </w:p>
    <w:p w14:paraId="27B905C7" w14:textId="2EE76039" w:rsidR="004C53A8" w:rsidRDefault="00870286" w:rsidP="00601972">
      <w:pPr>
        <w:numPr>
          <w:ilvl w:val="0"/>
          <w:numId w:val="34"/>
        </w:numPr>
        <w:spacing w:before="60" w:after="60"/>
        <w:ind w:left="284" w:hanging="284"/>
      </w:pPr>
      <w:bookmarkStart w:id="1733" w:name="_Ref496519438"/>
      <w:r>
        <w:rPr>
          <w:rFonts w:ascii="Titillium" w:hAnsi="Titillium" w:cs="Calibri"/>
          <w:sz w:val="18"/>
          <w:szCs w:val="18"/>
        </w:rPr>
        <w:t>essere corredata dall’impegno del garante a rinnovare la garanzia ai sensi dell’</w:t>
      </w:r>
      <w:r w:rsidR="00291685">
        <w:rPr>
          <w:rFonts w:ascii="Titillium" w:hAnsi="Titillium" w:cs="Calibri"/>
          <w:sz w:val="18"/>
          <w:szCs w:val="18"/>
        </w:rPr>
        <w:t>articolo</w:t>
      </w:r>
      <w:r>
        <w:rPr>
          <w:rFonts w:ascii="Titillium" w:hAnsi="Titillium" w:cs="Calibri"/>
          <w:sz w:val="18"/>
          <w:szCs w:val="18"/>
        </w:rPr>
        <w:t xml:space="preserve"> 93, comma 5 del Codice, su richiesta della staz</w:t>
      </w:r>
      <w:r w:rsidR="00533FCD">
        <w:rPr>
          <w:rFonts w:ascii="Titillium" w:hAnsi="Titillium" w:cs="Calibri"/>
          <w:sz w:val="18"/>
          <w:szCs w:val="18"/>
        </w:rPr>
        <w:t>ione appaltante per ulteriori ..</w:t>
      </w:r>
      <w:r>
        <w:rPr>
          <w:rFonts w:ascii="Titillium" w:hAnsi="Titillium" w:cs="Calibri"/>
          <w:sz w:val="18"/>
          <w:szCs w:val="18"/>
        </w:rPr>
        <w:t xml:space="preserve">. </w:t>
      </w:r>
      <w:r>
        <w:rPr>
          <w:rFonts w:ascii="Titillium" w:hAnsi="Titillium" w:cs="Calibri"/>
          <w:i/>
          <w:iCs/>
          <w:sz w:val="18"/>
          <w:szCs w:val="18"/>
        </w:rPr>
        <w:t xml:space="preserve">[indicare] </w:t>
      </w:r>
      <w:r>
        <w:rPr>
          <w:rFonts w:ascii="Titillium" w:hAnsi="Titillium" w:cs="Calibri"/>
          <w:sz w:val="18"/>
          <w:szCs w:val="18"/>
        </w:rPr>
        <w:t>giorni, nel caso in cui al momento della sua scadenza non sia ancora intervenuta l’aggiudicazione</w:t>
      </w:r>
      <w:bookmarkEnd w:id="1733"/>
      <w:r w:rsidR="002507BD">
        <w:rPr>
          <w:rFonts w:ascii="Titillium" w:hAnsi="Titillium" w:cs="Calibri"/>
          <w:sz w:val="18"/>
          <w:szCs w:val="18"/>
        </w:rPr>
        <w:t>.</w:t>
      </w:r>
    </w:p>
    <w:p w14:paraId="5055D273" w14:textId="78DB319B" w:rsidR="004C53A8" w:rsidRDefault="00870286" w:rsidP="00533FCD">
      <w:pPr>
        <w:spacing w:before="60" w:after="60"/>
      </w:pPr>
      <w:r>
        <w:rPr>
          <w:rFonts w:ascii="Titillium" w:hAnsi="Titillium" w:cs="Calibri"/>
          <w:sz w:val="18"/>
          <w:szCs w:val="18"/>
        </w:rPr>
        <w:t xml:space="preserve">La garanzia fideiussoria e la dichiarazione di impegno devono </w:t>
      </w:r>
      <w:r w:rsidRPr="00EC088D">
        <w:rPr>
          <w:rFonts w:ascii="Titillium" w:hAnsi="Titillium" w:cs="Calibri"/>
          <w:sz w:val="18"/>
          <w:szCs w:val="18"/>
        </w:rPr>
        <w:t>essere sottoscritte da</w:t>
      </w:r>
      <w:r>
        <w:rPr>
          <w:rFonts w:ascii="Titillium" w:hAnsi="Titillium" w:cs="Calibri"/>
          <w:sz w:val="18"/>
          <w:szCs w:val="18"/>
        </w:rPr>
        <w:t xml:space="preserve"> un soggetto in possesso dei</w:t>
      </w:r>
      <w:r>
        <w:t xml:space="preserve"> </w:t>
      </w:r>
      <w:r>
        <w:rPr>
          <w:rFonts w:ascii="Titillium" w:hAnsi="Titillium" w:cs="Calibri"/>
          <w:sz w:val="18"/>
          <w:szCs w:val="18"/>
        </w:rPr>
        <w:t>poteri necessari per impegnare il garante ed essere inserite sulla Piattaforma in una delle seguenti forme:</w:t>
      </w:r>
    </w:p>
    <w:p w14:paraId="55BF2951" w14:textId="7B30A10C" w:rsidR="0069500C" w:rsidRDefault="00870286" w:rsidP="00601972">
      <w:pPr>
        <w:pStyle w:val="Paragrafoelenco"/>
        <w:numPr>
          <w:ilvl w:val="0"/>
          <w:numId w:val="39"/>
        </w:numPr>
        <w:ind w:left="426"/>
        <w:rPr>
          <w:rFonts w:ascii="Titillium" w:hAnsi="Titillium" w:cs="Calibri"/>
          <w:sz w:val="18"/>
          <w:szCs w:val="18"/>
        </w:rPr>
      </w:pPr>
      <w:r w:rsidRPr="0069500C">
        <w:rPr>
          <w:rFonts w:ascii="Titillium" w:hAnsi="Titillium" w:cs="Calibri"/>
          <w:sz w:val="18"/>
          <w:szCs w:val="18"/>
        </w:rPr>
        <w:t>originale informatico, ai sensi dell’</w:t>
      </w:r>
      <w:r w:rsidR="00291685" w:rsidRPr="0069500C">
        <w:rPr>
          <w:rFonts w:ascii="Titillium" w:hAnsi="Titillium" w:cs="Calibri"/>
          <w:sz w:val="18"/>
          <w:szCs w:val="18"/>
        </w:rPr>
        <w:t>articolo</w:t>
      </w:r>
      <w:r w:rsidRPr="0069500C">
        <w:rPr>
          <w:rFonts w:ascii="Titillium" w:hAnsi="Titillium" w:cs="Calibri"/>
          <w:sz w:val="18"/>
          <w:szCs w:val="18"/>
        </w:rPr>
        <w:t xml:space="preserve"> 1, lett. p) del d.lgs. 7 marzo 2005, n. 82, sottoscritto con firma digitale</w:t>
      </w:r>
      <w:r w:rsidR="00987E2A" w:rsidRPr="0069500C">
        <w:rPr>
          <w:rFonts w:ascii="Titillium" w:hAnsi="Titillium" w:cs="Calibri"/>
          <w:sz w:val="18"/>
          <w:szCs w:val="18"/>
        </w:rPr>
        <w:t xml:space="preserve">, o altro tipo di firma elettronica qualificata </w:t>
      </w:r>
      <w:r w:rsidRPr="0069500C">
        <w:rPr>
          <w:rFonts w:ascii="Titillium" w:hAnsi="Titillium" w:cs="Calibri"/>
          <w:sz w:val="18"/>
          <w:szCs w:val="18"/>
        </w:rPr>
        <w:t>dal soggetto in possesso dei poteri necessari per impegnare il garante;</w:t>
      </w:r>
      <w:r w:rsidR="00605270" w:rsidRPr="0069500C">
        <w:rPr>
          <w:rFonts w:ascii="Titillium" w:hAnsi="Titillium" w:cs="Calibri"/>
          <w:sz w:val="18"/>
          <w:szCs w:val="18"/>
        </w:rPr>
        <w:t xml:space="preserve"> </w:t>
      </w:r>
    </w:p>
    <w:p w14:paraId="1376A239" w14:textId="77777777" w:rsidR="00FD0C04" w:rsidRDefault="00870286" w:rsidP="00FD0C04">
      <w:pPr>
        <w:pStyle w:val="Paragrafoelenco"/>
        <w:numPr>
          <w:ilvl w:val="0"/>
          <w:numId w:val="39"/>
        </w:numPr>
        <w:ind w:left="426"/>
        <w:rPr>
          <w:rFonts w:ascii="Titillium" w:hAnsi="Titillium" w:cs="Calibri"/>
          <w:sz w:val="18"/>
          <w:szCs w:val="18"/>
        </w:rPr>
      </w:pPr>
      <w:r w:rsidRPr="0069500C">
        <w:rPr>
          <w:rFonts w:ascii="Titillium" w:hAnsi="Titillium" w:cs="Calibri"/>
          <w:sz w:val="18"/>
          <w:szCs w:val="18"/>
        </w:rPr>
        <w:t>in copia informatica di documento analogico (scansione di documento cartaceo) secondo le modalità previste dall’</w:t>
      </w:r>
      <w:r w:rsidR="00291685" w:rsidRPr="0069500C">
        <w:rPr>
          <w:rFonts w:ascii="Titillium" w:hAnsi="Titillium" w:cs="Calibri"/>
          <w:sz w:val="18"/>
          <w:szCs w:val="18"/>
        </w:rPr>
        <w:t>articolo</w:t>
      </w:r>
      <w:r w:rsidRPr="0069500C">
        <w:rPr>
          <w:rFonts w:ascii="Titillium" w:hAnsi="Titillium" w:cs="Calibri"/>
          <w:sz w:val="18"/>
          <w:szCs w:val="18"/>
        </w:rPr>
        <w:t xml:space="preserve"> 22, commi 1 e 2, del d.lgs. n. 82/2005;</w:t>
      </w:r>
    </w:p>
    <w:p w14:paraId="4541AE39" w14:textId="73E78217" w:rsidR="004C53A8" w:rsidRPr="00FD0C04" w:rsidRDefault="00870286" w:rsidP="00FD0C04">
      <w:pPr>
        <w:pStyle w:val="Paragrafoelenco"/>
        <w:numPr>
          <w:ilvl w:val="0"/>
          <w:numId w:val="39"/>
        </w:numPr>
        <w:ind w:left="426"/>
        <w:rPr>
          <w:rFonts w:ascii="Titillium" w:hAnsi="Titillium" w:cs="Calibri"/>
          <w:sz w:val="18"/>
          <w:szCs w:val="18"/>
        </w:rPr>
      </w:pPr>
      <w:r w:rsidRPr="00FD0C04">
        <w:rPr>
          <w:rFonts w:ascii="Titillium" w:hAnsi="Titillium" w:cs="Calibri"/>
          <w:sz w:val="18"/>
          <w:szCs w:val="18"/>
        </w:rPr>
        <w:t>in duplicato informatico dell’originale informatico conforme alle disposizioni dell’</w:t>
      </w:r>
      <w:r w:rsidR="00291685" w:rsidRPr="00FD0C04">
        <w:rPr>
          <w:rFonts w:ascii="Titillium" w:hAnsi="Titillium" w:cs="Calibri"/>
          <w:sz w:val="18"/>
          <w:szCs w:val="18"/>
        </w:rPr>
        <w:t>articolo</w:t>
      </w:r>
      <w:r w:rsidRPr="00FD0C04">
        <w:rPr>
          <w:rFonts w:ascii="Titillium" w:hAnsi="Titillium" w:cs="Calibri"/>
          <w:sz w:val="18"/>
          <w:szCs w:val="18"/>
        </w:rPr>
        <w:t xml:space="preserve"> 23-bis del D.lgs. n.82/2005.</w:t>
      </w:r>
    </w:p>
    <w:p w14:paraId="4FE368BB" w14:textId="2139D332" w:rsidR="004C53A8" w:rsidRDefault="00870286" w:rsidP="00533FCD">
      <w:pPr>
        <w:pStyle w:val="usoboll1"/>
        <w:spacing w:line="300" w:lineRule="exact"/>
      </w:pPr>
      <w:r>
        <w:rPr>
          <w:rFonts w:ascii="Titillium" w:hAnsi="Titillium" w:cs="Calibri"/>
          <w:sz w:val="18"/>
          <w:szCs w:val="18"/>
          <w:lang w:eastAsia="en-US"/>
        </w:rPr>
        <w:t xml:space="preserve">In caso di bonifico il concorrente deve inserire sulla Piattaforma il documento che attesti l’avvenuto versamento in una delle forme sopra indicate. Il documento deve indicare il nominativo dell’operatore economico che ha operato il versamento stesso. </w:t>
      </w:r>
    </w:p>
    <w:p w14:paraId="6235AC44" w14:textId="0FF18C98" w:rsidR="004C53A8" w:rsidRPr="0040308B" w:rsidRDefault="00870286" w:rsidP="00533FCD">
      <w:pPr>
        <w:spacing w:before="120" w:after="60"/>
      </w:pPr>
      <w:r>
        <w:rPr>
          <w:rFonts w:ascii="Titillium" w:hAnsi="Titillium" w:cs="Calibri"/>
          <w:sz w:val="18"/>
          <w:szCs w:val="18"/>
        </w:rPr>
        <w:t xml:space="preserve">In caso di richiesta di estensione della durata e validità dell’offerta e della garanzia fideiussoria, il concorrente </w:t>
      </w:r>
      <w:r w:rsidR="00D74FA2" w:rsidRPr="00D74FA2">
        <w:rPr>
          <w:rFonts w:ascii="Titillium" w:hAnsi="Titillium" w:cs="Calibri"/>
          <w:color w:val="000000" w:themeColor="text1"/>
          <w:sz w:val="18"/>
          <w:szCs w:val="18"/>
        </w:rPr>
        <w:t>potrà produrre</w:t>
      </w:r>
      <w:r w:rsidRPr="00D74FA2">
        <w:rPr>
          <w:rFonts w:ascii="Titillium" w:hAnsi="Titillium" w:cs="Calibri"/>
          <w:color w:val="000000" w:themeColor="text1"/>
          <w:sz w:val="18"/>
          <w:szCs w:val="18"/>
        </w:rPr>
        <w:t xml:space="preserve"> </w:t>
      </w:r>
      <w:r w:rsidR="0040308B">
        <w:rPr>
          <w:rFonts w:ascii="Titillium" w:hAnsi="Titillium" w:cs="Calibri"/>
          <w:sz w:val="18"/>
          <w:szCs w:val="18"/>
        </w:rPr>
        <w:t xml:space="preserve">nelle medesime forme di cui sopra </w:t>
      </w:r>
      <w:r>
        <w:rPr>
          <w:rFonts w:ascii="Titillium" w:hAnsi="Titillium" w:cs="Calibri"/>
          <w:sz w:val="18"/>
          <w:szCs w:val="18"/>
        </w:rPr>
        <w:t xml:space="preserve">una nuova garanzia provvisoria </w:t>
      </w:r>
      <w:r w:rsidR="00D74FA2">
        <w:rPr>
          <w:rFonts w:ascii="Titillium" w:hAnsi="Titillium" w:cs="Calibri"/>
          <w:sz w:val="18"/>
          <w:szCs w:val="18"/>
        </w:rPr>
        <w:t xml:space="preserve">del medesimo o </w:t>
      </w:r>
      <w:r>
        <w:rPr>
          <w:rFonts w:ascii="Titillium" w:hAnsi="Titillium" w:cs="Calibri"/>
          <w:sz w:val="18"/>
          <w:szCs w:val="18"/>
        </w:rPr>
        <w:t xml:space="preserve">di altro garante, in sostituzione della precedente, a condizione che abbia </w:t>
      </w:r>
      <w:r w:rsidRPr="0040308B">
        <w:rPr>
          <w:rFonts w:ascii="Titillium" w:hAnsi="Titillium" w:cs="Calibri"/>
          <w:sz w:val="18"/>
          <w:szCs w:val="18"/>
        </w:rPr>
        <w:t>espressa decorrenza dalla data di presentazione dell’offerta</w:t>
      </w:r>
      <w:r w:rsidR="00D74FA2">
        <w:rPr>
          <w:rFonts w:ascii="Titillium" w:hAnsi="Titillium" w:cs="Calibri"/>
          <w:sz w:val="18"/>
          <w:szCs w:val="18"/>
        </w:rPr>
        <w:t>.</w:t>
      </w:r>
    </w:p>
    <w:p w14:paraId="76C95DB2" w14:textId="175BC220" w:rsidR="004C53A8" w:rsidRDefault="00870286" w:rsidP="00533FCD">
      <w:pPr>
        <w:spacing w:before="60" w:after="60"/>
      </w:pPr>
      <w:r w:rsidRPr="00690F06">
        <w:rPr>
          <w:rFonts w:ascii="Titillium" w:hAnsi="Titillium" w:cs="Calibri"/>
          <w:sz w:val="18"/>
          <w:szCs w:val="18"/>
        </w:rPr>
        <w:t xml:space="preserve">Per fruire </w:t>
      </w:r>
      <w:r w:rsidR="0040308B" w:rsidRPr="00690F06">
        <w:rPr>
          <w:rFonts w:ascii="Titillium" w:hAnsi="Titillium" w:cs="Calibri"/>
          <w:sz w:val="18"/>
          <w:szCs w:val="18"/>
        </w:rPr>
        <w:t xml:space="preserve">delle </w:t>
      </w:r>
      <w:r w:rsidRPr="00690F06">
        <w:rPr>
          <w:rFonts w:ascii="Titillium" w:hAnsi="Titillium" w:cs="Calibri"/>
          <w:sz w:val="18"/>
          <w:szCs w:val="18"/>
        </w:rPr>
        <w:t xml:space="preserve">riduzioni </w:t>
      </w:r>
      <w:r w:rsidR="0040308B" w:rsidRPr="00690F06">
        <w:rPr>
          <w:rFonts w:ascii="Titillium" w:hAnsi="Titillium" w:cs="Calibri"/>
          <w:sz w:val="18"/>
          <w:szCs w:val="18"/>
        </w:rPr>
        <w:t xml:space="preserve">di cui all’articolo 93, comma 7 del Codice, </w:t>
      </w:r>
      <w:r w:rsidRPr="00690F06">
        <w:rPr>
          <w:rFonts w:ascii="Titillium" w:hAnsi="Titillium" w:cs="Calibri"/>
          <w:sz w:val="18"/>
          <w:szCs w:val="18"/>
        </w:rPr>
        <w:t>il concorrente dichiara nella do</w:t>
      </w:r>
      <w:r w:rsidR="0040308B" w:rsidRPr="00690F06">
        <w:rPr>
          <w:rFonts w:ascii="Titillium" w:hAnsi="Titillium" w:cs="Calibri"/>
          <w:sz w:val="18"/>
          <w:szCs w:val="18"/>
        </w:rPr>
        <w:t xml:space="preserve">manda di partecipazione </w:t>
      </w:r>
      <w:r w:rsidRPr="00690F06">
        <w:rPr>
          <w:rFonts w:ascii="Titillium" w:hAnsi="Titillium" w:cs="Calibri"/>
          <w:sz w:val="18"/>
          <w:szCs w:val="18"/>
        </w:rPr>
        <w:t>il possesso dei relativi requisiti</w:t>
      </w:r>
      <w:r w:rsidR="0040308B" w:rsidRPr="00690F06">
        <w:rPr>
          <w:rFonts w:ascii="Titillium" w:hAnsi="Titillium" w:cs="Calibri"/>
          <w:sz w:val="18"/>
          <w:szCs w:val="18"/>
        </w:rPr>
        <w:t>.</w:t>
      </w:r>
      <w:r>
        <w:rPr>
          <w:rFonts w:ascii="Titillium" w:hAnsi="Titillium" w:cs="Calibri"/>
          <w:sz w:val="18"/>
          <w:szCs w:val="18"/>
        </w:rPr>
        <w:t xml:space="preserve"> </w:t>
      </w:r>
    </w:p>
    <w:p w14:paraId="79A737AA" w14:textId="77777777" w:rsidR="00F37AB2" w:rsidRPr="00F37AB2" w:rsidRDefault="00F37AB2" w:rsidP="00F37AB2">
      <w:pPr>
        <w:spacing w:before="60" w:after="60"/>
        <w:rPr>
          <w:rFonts w:ascii="Titillium" w:hAnsi="Titillium" w:cs="Calibri"/>
          <w:sz w:val="18"/>
          <w:szCs w:val="18"/>
        </w:rPr>
      </w:pPr>
      <w:r w:rsidRPr="00F37AB2">
        <w:rPr>
          <w:rFonts w:ascii="Titillium" w:hAnsi="Titillium" w:cs="Calibri"/>
          <w:sz w:val="18"/>
          <w:szCs w:val="18"/>
        </w:rPr>
        <w:t>In caso di partecipazione in forma associata, la riduzione del 50% per il possesso della certificazione del sistema di qualità di cui all’articolo 93, comma 7, si ottiene:</w:t>
      </w:r>
    </w:p>
    <w:p w14:paraId="2C622A87" w14:textId="4194CA77" w:rsidR="004E0358" w:rsidRPr="00605270" w:rsidRDefault="00FD0C04" w:rsidP="00601972">
      <w:pPr>
        <w:pStyle w:val="Paragrafoelenco"/>
        <w:numPr>
          <w:ilvl w:val="1"/>
          <w:numId w:val="40"/>
        </w:numPr>
        <w:spacing w:before="60" w:after="60"/>
        <w:ind w:left="426" w:hanging="284"/>
        <w:rPr>
          <w:rFonts w:ascii="Titillium" w:hAnsi="Titillium" w:cs="Calibri"/>
          <w:sz w:val="18"/>
          <w:szCs w:val="18"/>
        </w:rPr>
      </w:pPr>
      <w:r>
        <w:rPr>
          <w:rFonts w:ascii="Titillium" w:hAnsi="Titillium" w:cs="Calibri"/>
          <w:sz w:val="18"/>
          <w:szCs w:val="18"/>
        </w:rPr>
        <w:t>per i</w:t>
      </w:r>
      <w:r w:rsidR="004E0358" w:rsidRPr="00605270">
        <w:rPr>
          <w:rFonts w:ascii="Titillium" w:hAnsi="Titillium" w:cs="Calibri"/>
          <w:sz w:val="18"/>
          <w:szCs w:val="18"/>
        </w:rPr>
        <w:t xml:space="preserve"> soggetti di cui all’articolo 45, comma 2, lettere d), e), f), g), del Codice solo se tutte le imprese che costituiscono il raggruppamento, consorzio ordinario o GEIE, o</w:t>
      </w:r>
      <w:r w:rsidR="004E0358" w:rsidRPr="00605270">
        <w:rPr>
          <w:rFonts w:ascii="Calibri" w:hAnsi="Calibri" w:cs="Calibri"/>
          <w:sz w:val="18"/>
          <w:szCs w:val="18"/>
        </w:rPr>
        <w:t> </w:t>
      </w:r>
      <w:r w:rsidR="004E0358" w:rsidRPr="00605270">
        <w:rPr>
          <w:rFonts w:ascii="Titillium" w:hAnsi="Titillium" w:cs="Calibri"/>
          <w:sz w:val="18"/>
          <w:szCs w:val="18"/>
        </w:rPr>
        <w:t>tutte le imprese retiste che partecipano alla gara siano in possesso della predetta certificazione;</w:t>
      </w:r>
    </w:p>
    <w:p w14:paraId="34344392" w14:textId="2D767A44" w:rsidR="00690F06" w:rsidRPr="00472411" w:rsidRDefault="00FD0C04" w:rsidP="00601972">
      <w:pPr>
        <w:pStyle w:val="Paragrafoelenco"/>
        <w:numPr>
          <w:ilvl w:val="1"/>
          <w:numId w:val="40"/>
        </w:numPr>
        <w:spacing w:before="60" w:after="60"/>
        <w:ind w:left="426" w:hanging="284"/>
        <w:rPr>
          <w:rFonts w:ascii="Titillium" w:hAnsi="Titillium" w:cs="Calibri"/>
          <w:sz w:val="18"/>
          <w:szCs w:val="18"/>
        </w:rPr>
      </w:pPr>
      <w:r>
        <w:rPr>
          <w:rFonts w:ascii="Titillium" w:hAnsi="Titillium" w:cs="Calibri"/>
          <w:sz w:val="18"/>
          <w:szCs w:val="18"/>
        </w:rPr>
        <w:t>per i</w:t>
      </w:r>
      <w:r w:rsidR="004E0358" w:rsidRPr="00843077">
        <w:rPr>
          <w:rFonts w:ascii="Titillium" w:hAnsi="Titillium" w:cs="Calibri"/>
          <w:sz w:val="18"/>
          <w:szCs w:val="18"/>
        </w:rPr>
        <w:t xml:space="preserve"> consorzi di cui all’articolo 45, comma 2, lettere b) e c) del Codice, </w:t>
      </w:r>
      <w:r w:rsidR="00690F06" w:rsidRPr="00843077">
        <w:rPr>
          <w:rFonts w:ascii="Titillium" w:hAnsi="Titillium" w:cs="Calibri"/>
          <w:sz w:val="18"/>
          <w:szCs w:val="18"/>
        </w:rPr>
        <w:t>s</w:t>
      </w:r>
      <w:r w:rsidR="00690F06" w:rsidRPr="00843077">
        <w:rPr>
          <w:rFonts w:ascii="Titillium" w:hAnsi="Titillium" w:cs="Calibri"/>
          <w:bCs/>
          <w:sz w:val="18"/>
          <w:szCs w:val="18"/>
        </w:rPr>
        <w:t>e il Consorzio ha dichiarato in fase di offerta che intende eseguire con risorse proprie, sole se il Consorzio possiede la predetta certificazione;  se  il Consorzio ha indicato in fase di offerta che intende assegnare</w:t>
      </w:r>
      <w:r w:rsidR="00690F06" w:rsidRPr="00843077">
        <w:rPr>
          <w:rFonts w:ascii="Titillium" w:hAnsi="Titillium" w:cs="Calibri"/>
          <w:sz w:val="18"/>
          <w:szCs w:val="18"/>
        </w:rPr>
        <w:t xml:space="preserve"> parte delle prestazioni a una o più consorziate individuate nell’offerta</w:t>
      </w:r>
      <w:r w:rsidR="00766861" w:rsidRPr="00843077">
        <w:rPr>
          <w:rFonts w:ascii="Titillium" w:hAnsi="Titillium" w:cs="Calibri"/>
          <w:sz w:val="18"/>
          <w:szCs w:val="18"/>
        </w:rPr>
        <w:t xml:space="preserve">, </w:t>
      </w:r>
      <w:r w:rsidR="00766861">
        <w:rPr>
          <w:rFonts w:ascii="Titillium" w:hAnsi="Titillium" w:cs="Calibri"/>
          <w:sz w:val="18"/>
          <w:szCs w:val="18"/>
        </w:rPr>
        <w:t xml:space="preserve">solo </w:t>
      </w:r>
      <w:r w:rsidR="00766861" w:rsidRPr="00843077">
        <w:rPr>
          <w:rFonts w:ascii="Titillium" w:hAnsi="Titillium" w:cs="Calibri"/>
          <w:sz w:val="18"/>
          <w:szCs w:val="18"/>
        </w:rPr>
        <w:t xml:space="preserve">se sia </w:t>
      </w:r>
      <w:r w:rsidR="00690F06" w:rsidRPr="00843077">
        <w:rPr>
          <w:rFonts w:ascii="Titillium" w:hAnsi="Titillium" w:cs="Calibri"/>
          <w:sz w:val="18"/>
          <w:szCs w:val="18"/>
        </w:rPr>
        <w:t xml:space="preserve">il Consorzio </w:t>
      </w:r>
      <w:r w:rsidR="00766861" w:rsidRPr="00843077">
        <w:rPr>
          <w:rFonts w:ascii="Titillium" w:hAnsi="Titillium" w:cs="Calibri"/>
          <w:sz w:val="18"/>
          <w:szCs w:val="18"/>
        </w:rPr>
        <w:t>sia la consorziata designata posseggono la predetta certificazione</w:t>
      </w:r>
      <w:r w:rsidR="00445C59">
        <w:rPr>
          <w:rFonts w:ascii="Titillium" w:hAnsi="Titillium" w:cs="Calibri"/>
          <w:sz w:val="18"/>
          <w:szCs w:val="18"/>
        </w:rPr>
        <w:t xml:space="preserve">, </w:t>
      </w:r>
      <w:r w:rsidR="00766861" w:rsidRPr="00843077">
        <w:rPr>
          <w:rFonts w:ascii="Titillium" w:hAnsi="Titillium" w:cs="Calibri"/>
          <w:sz w:val="18"/>
          <w:szCs w:val="18"/>
        </w:rPr>
        <w:t>o in alternativa</w:t>
      </w:r>
      <w:r w:rsidR="00766861" w:rsidRPr="00472411">
        <w:rPr>
          <w:rFonts w:ascii="Titillium" w:hAnsi="Titillium" w:cs="Calibri"/>
          <w:i/>
          <w:sz w:val="18"/>
          <w:szCs w:val="18"/>
        </w:rPr>
        <w:t xml:space="preserve"> </w:t>
      </w:r>
      <w:r w:rsidR="00EC088D">
        <w:rPr>
          <w:rFonts w:ascii="Titillium" w:hAnsi="Titillium" w:cs="Calibri"/>
          <w:sz w:val="18"/>
          <w:szCs w:val="18"/>
        </w:rPr>
        <w:t>se il solo</w:t>
      </w:r>
      <w:r w:rsidR="00690F06" w:rsidRPr="00472411">
        <w:rPr>
          <w:rFonts w:ascii="Titillium" w:hAnsi="Titillium" w:cs="Calibri"/>
          <w:sz w:val="18"/>
          <w:szCs w:val="18"/>
        </w:rPr>
        <w:t xml:space="preserve"> Consorzio possiede l</w:t>
      </w:r>
      <w:r w:rsidR="00766861" w:rsidRPr="00472411">
        <w:rPr>
          <w:rFonts w:ascii="Titillium" w:hAnsi="Titillium" w:cs="Calibri"/>
          <w:sz w:val="18"/>
          <w:szCs w:val="18"/>
        </w:rPr>
        <w:t>a predetta certificazione e l’ambito di certificazione del suo sistema gestionale include la verifica che l’erogazione della prestazione da parte della consorziata rispetti gli standard fissati dalla certificazione</w:t>
      </w:r>
      <w:r w:rsidR="006A4C81">
        <w:rPr>
          <w:rFonts w:ascii="Titillium" w:hAnsi="Titillium" w:cs="Calibri"/>
          <w:sz w:val="18"/>
          <w:szCs w:val="18"/>
        </w:rPr>
        <w:t>.</w:t>
      </w:r>
      <w:r w:rsidR="00766861" w:rsidRPr="00472411">
        <w:rPr>
          <w:rFonts w:ascii="Titillium" w:hAnsi="Titillium" w:cs="Calibri"/>
          <w:sz w:val="18"/>
          <w:szCs w:val="18"/>
        </w:rPr>
        <w:t xml:space="preserve"> </w:t>
      </w:r>
    </w:p>
    <w:p w14:paraId="66C72A4B" w14:textId="744948C3" w:rsidR="00F37AB2" w:rsidRDefault="00F37AB2" w:rsidP="00533FCD">
      <w:pPr>
        <w:spacing w:before="60" w:after="60"/>
        <w:rPr>
          <w:rFonts w:ascii="Titillium" w:hAnsi="Titillium" w:cs="Calibri"/>
          <w:sz w:val="18"/>
          <w:szCs w:val="18"/>
        </w:rPr>
      </w:pPr>
      <w:r w:rsidRPr="00F37AB2">
        <w:rPr>
          <w:rFonts w:ascii="Titillium" w:hAnsi="Titillium" w:cs="Calibri"/>
          <w:sz w:val="18"/>
          <w:szCs w:val="18"/>
        </w:rPr>
        <w:t>Le altre riduzioni previste dall’art</w:t>
      </w:r>
      <w:r w:rsidR="00DA180B">
        <w:rPr>
          <w:rFonts w:ascii="Titillium" w:hAnsi="Titillium" w:cs="Calibri"/>
          <w:sz w:val="18"/>
          <w:szCs w:val="18"/>
        </w:rPr>
        <w:t>icolo</w:t>
      </w:r>
      <w:r w:rsidRPr="00F37AB2">
        <w:rPr>
          <w:rFonts w:ascii="Titillium" w:hAnsi="Titillium" w:cs="Calibri"/>
          <w:sz w:val="18"/>
          <w:szCs w:val="18"/>
        </w:rPr>
        <w:t xml:space="preserve"> 93, comma 7, del Codice si ottengono nel caso di possesso da parte di una sola associata oppure, per i consorzi di cui all’art</w:t>
      </w:r>
      <w:r w:rsidR="00843077">
        <w:rPr>
          <w:rFonts w:ascii="Titillium" w:hAnsi="Titillium" w:cs="Calibri"/>
          <w:sz w:val="18"/>
          <w:szCs w:val="18"/>
        </w:rPr>
        <w:t>icolo</w:t>
      </w:r>
      <w:r w:rsidRPr="00F37AB2">
        <w:rPr>
          <w:rFonts w:ascii="Titillium" w:hAnsi="Titillium" w:cs="Calibri"/>
          <w:sz w:val="18"/>
          <w:szCs w:val="18"/>
        </w:rPr>
        <w:t xml:space="preserve"> 45, comma 2, lett</w:t>
      </w:r>
      <w:r w:rsidR="00DA180B">
        <w:rPr>
          <w:rFonts w:ascii="Titillium" w:hAnsi="Titillium" w:cs="Calibri"/>
          <w:sz w:val="18"/>
          <w:szCs w:val="18"/>
        </w:rPr>
        <w:t>ere</w:t>
      </w:r>
      <w:r w:rsidRPr="00F37AB2">
        <w:rPr>
          <w:rFonts w:ascii="Titillium" w:hAnsi="Titillium" w:cs="Calibri"/>
          <w:sz w:val="18"/>
          <w:szCs w:val="18"/>
        </w:rPr>
        <w:t xml:space="preserve"> b) e c) del Codice, da parte del consorzio e/o delle consorziate.</w:t>
      </w:r>
    </w:p>
    <w:p w14:paraId="5D612FB2" w14:textId="381A14FE" w:rsidR="004C53A8" w:rsidRPr="00EC088D" w:rsidRDefault="00870286" w:rsidP="00533FCD">
      <w:pPr>
        <w:spacing w:before="60" w:after="60"/>
      </w:pPr>
      <w:r w:rsidRPr="00EC088D">
        <w:rPr>
          <w:rFonts w:ascii="Titillium" w:hAnsi="Titillium" w:cs="Calibri"/>
          <w:sz w:val="18"/>
          <w:szCs w:val="18"/>
        </w:rPr>
        <w:t xml:space="preserve">È sanabile, mediante soccorso istruttorio, la mancata presentazione della garanzia provvisoria e/o dell’impegno a rilasciare garanzia fideiussoria definitiva solo a condizione che siano stati già costituiti </w:t>
      </w:r>
      <w:r w:rsidR="00DE51A8">
        <w:rPr>
          <w:rFonts w:ascii="Titillium" w:hAnsi="Titillium" w:cs="Calibri"/>
          <w:sz w:val="18"/>
          <w:szCs w:val="18"/>
        </w:rPr>
        <w:t xml:space="preserve">nella loro integrità </w:t>
      </w:r>
      <w:r w:rsidRPr="00EC088D">
        <w:rPr>
          <w:rFonts w:ascii="Titillium" w:hAnsi="Titillium" w:cs="Calibri"/>
          <w:sz w:val="18"/>
          <w:szCs w:val="18"/>
        </w:rPr>
        <w:t xml:space="preserve">prima della presentazione dell’offerta. </w:t>
      </w:r>
      <w:r w:rsidRPr="00EC088D">
        <w:rPr>
          <w:rFonts w:ascii="Calibri" w:hAnsi="Calibri" w:cs="Calibri"/>
          <w:sz w:val="20"/>
          <w:szCs w:val="20"/>
        </w:rPr>
        <w:t xml:space="preserve"> </w:t>
      </w:r>
    </w:p>
    <w:p w14:paraId="7BCA9437" w14:textId="77777777" w:rsidR="004C53A8" w:rsidRDefault="00870286" w:rsidP="00533FCD">
      <w:pPr>
        <w:spacing w:before="60" w:after="60"/>
      </w:pPr>
      <w:r w:rsidRPr="00EC088D">
        <w:rPr>
          <w:rFonts w:ascii="Titillium" w:hAnsi="Titillium" w:cs="Calibri"/>
          <w:bCs/>
          <w:sz w:val="18"/>
          <w:szCs w:val="18"/>
        </w:rPr>
        <w:t xml:space="preserve">Non </w:t>
      </w:r>
      <w:r w:rsidRPr="00EC088D">
        <w:rPr>
          <w:rFonts w:ascii="Titillium" w:hAnsi="Titillium" w:cs="Calibri" w:hint="eastAsia"/>
          <w:bCs/>
          <w:sz w:val="18"/>
          <w:szCs w:val="18"/>
        </w:rPr>
        <w:t>è</w:t>
      </w:r>
      <w:r w:rsidRPr="00EC088D">
        <w:rPr>
          <w:rFonts w:ascii="Titillium" w:hAnsi="Titillium" w:cs="Calibri"/>
          <w:bCs/>
          <w:sz w:val="18"/>
          <w:szCs w:val="18"/>
        </w:rPr>
        <w:t xml:space="preserve"> sanabile</w:t>
      </w:r>
      <w:r w:rsidRPr="00EC088D">
        <w:rPr>
          <w:rFonts w:ascii="Titillium" w:hAnsi="Titillium" w:cs="Calibri"/>
          <w:sz w:val="18"/>
          <w:szCs w:val="18"/>
        </w:rPr>
        <w:t xml:space="preserve"> - e quindi è causa di esclusione - la sottoscrizione della garanzia provvisoria da parte di un soggetto non legittimato a rilasciare la garanzia</w:t>
      </w:r>
      <w:r>
        <w:rPr>
          <w:rFonts w:ascii="Titillium" w:hAnsi="Titillium" w:cs="Calibri"/>
          <w:sz w:val="18"/>
          <w:szCs w:val="18"/>
        </w:rPr>
        <w:t xml:space="preserve"> o non autorizzato ad impegnare il garante. </w:t>
      </w:r>
    </w:p>
    <w:p w14:paraId="25A50F13" w14:textId="6C59049D" w:rsidR="004C53A8" w:rsidRDefault="00870286">
      <w:pPr>
        <w:pStyle w:val="Titolo2"/>
        <w:numPr>
          <w:ilvl w:val="0"/>
          <w:numId w:val="4"/>
        </w:numPr>
        <w:ind w:left="357" w:hanging="357"/>
      </w:pPr>
      <w:r>
        <w:rPr>
          <w:rFonts w:ascii="Titillium" w:hAnsi="Titillium"/>
          <w:i/>
          <w:sz w:val="18"/>
          <w:szCs w:val="18"/>
          <w:lang w:val="it-IT"/>
        </w:rPr>
        <w:t xml:space="preserve"> </w:t>
      </w:r>
      <w:bookmarkStart w:id="1734" w:name="_Toc95495896"/>
      <w:r>
        <w:rPr>
          <w:rFonts w:ascii="Titillium" w:hAnsi="Titillium"/>
          <w:i/>
          <w:sz w:val="18"/>
          <w:szCs w:val="18"/>
          <w:lang w:val="it-IT"/>
        </w:rPr>
        <w:t>[</w:t>
      </w:r>
      <w:r w:rsidR="006F7F3E">
        <w:rPr>
          <w:rFonts w:ascii="Titillium" w:hAnsi="Titillium"/>
          <w:i/>
          <w:sz w:val="18"/>
          <w:szCs w:val="18"/>
          <w:lang w:val="it-IT"/>
        </w:rPr>
        <w:t>F</w:t>
      </w:r>
      <w:r w:rsidR="005423E5">
        <w:rPr>
          <w:rFonts w:ascii="Titillium" w:hAnsi="Titillium"/>
          <w:i/>
          <w:sz w:val="18"/>
          <w:szCs w:val="18"/>
          <w:lang w:val="it-IT"/>
        </w:rPr>
        <w:t>ACOLTATIVO</w:t>
      </w:r>
      <w:r>
        <w:rPr>
          <w:rFonts w:ascii="Titillium" w:hAnsi="Titillium"/>
          <w:i/>
          <w:caps w:val="0"/>
          <w:sz w:val="18"/>
          <w:szCs w:val="18"/>
          <w:lang w:val="it-IT"/>
        </w:rPr>
        <w:t>]</w:t>
      </w:r>
      <w:r w:rsidR="00EC088D">
        <w:rPr>
          <w:rFonts w:ascii="Titillium" w:hAnsi="Titillium"/>
          <w:sz w:val="18"/>
          <w:szCs w:val="18"/>
          <w:lang w:val="it-IT"/>
        </w:rPr>
        <w:t xml:space="preserve"> </w:t>
      </w:r>
      <w:r w:rsidR="00331144">
        <w:rPr>
          <w:rFonts w:ascii="Titillium" w:hAnsi="Titillium"/>
          <w:sz w:val="18"/>
          <w:szCs w:val="18"/>
          <w:lang w:val="it-IT"/>
        </w:rPr>
        <w:t xml:space="preserve"> </w:t>
      </w:r>
      <w:r>
        <w:rPr>
          <w:rFonts w:ascii="Titillium" w:hAnsi="Titillium"/>
          <w:sz w:val="18"/>
          <w:szCs w:val="18"/>
        </w:rPr>
        <w:t>SOPRALLUOGO</w:t>
      </w:r>
      <w:bookmarkEnd w:id="1734"/>
    </w:p>
    <w:p w14:paraId="48400094" w14:textId="16CC0BB9" w:rsidR="004C53A8" w:rsidRDefault="00870286">
      <w:pPr>
        <w:spacing w:before="60" w:after="60"/>
      </w:pPr>
      <w:r>
        <w:rPr>
          <w:rFonts w:ascii="Titillium" w:hAnsi="Titillium" w:cs="Calibri"/>
          <w:sz w:val="18"/>
          <w:szCs w:val="18"/>
        </w:rPr>
        <w:t xml:space="preserve">Il sopralluogo su ... </w:t>
      </w:r>
      <w:r>
        <w:rPr>
          <w:rFonts w:ascii="Titillium" w:hAnsi="Titillium" w:cs="Calibri"/>
          <w:i/>
          <w:sz w:val="18"/>
          <w:szCs w:val="18"/>
        </w:rPr>
        <w:t>[indicare eventuali aree/locali/ oggetto di sopralluogo interessati ai</w:t>
      </w:r>
      <w:r>
        <w:rPr>
          <w:rFonts w:ascii="Titillium" w:hAnsi="Titillium" w:cs="Calibri"/>
          <w:sz w:val="18"/>
          <w:szCs w:val="18"/>
        </w:rPr>
        <w:t xml:space="preserve"> </w:t>
      </w:r>
      <w:r>
        <w:rPr>
          <w:rFonts w:ascii="Titillium" w:hAnsi="Titillium" w:cs="Calibri"/>
          <w:i/>
          <w:sz w:val="18"/>
          <w:szCs w:val="18"/>
        </w:rPr>
        <w:t>servizi/forniture]</w:t>
      </w:r>
      <w:r>
        <w:rPr>
          <w:rFonts w:ascii="Titillium" w:hAnsi="Titillium" w:cs="Calibri"/>
          <w:sz w:val="18"/>
          <w:szCs w:val="18"/>
        </w:rPr>
        <w:t xml:space="preserve"> </w:t>
      </w:r>
      <w:r w:rsidRPr="00EC088D">
        <w:rPr>
          <w:rFonts w:ascii="Titillium" w:hAnsi="Titillium" w:cs="Calibri"/>
          <w:sz w:val="18"/>
          <w:szCs w:val="18"/>
        </w:rPr>
        <w:t>è obbligatorio</w:t>
      </w:r>
      <w:r>
        <w:rPr>
          <w:rFonts w:ascii="Titillium" w:hAnsi="Titillium" w:cs="Calibri"/>
          <w:sz w:val="18"/>
          <w:szCs w:val="18"/>
        </w:rPr>
        <w:t xml:space="preserve">. Il sopralluogo si rende necessario per le seguenti ragioni … </w:t>
      </w:r>
      <w:r>
        <w:rPr>
          <w:rFonts w:ascii="Titillium" w:hAnsi="Titillium" w:cs="Calibri"/>
          <w:i/>
          <w:sz w:val="18"/>
          <w:szCs w:val="18"/>
        </w:rPr>
        <w:t>[fornire la motivazione].</w:t>
      </w:r>
      <w:r>
        <w:rPr>
          <w:rFonts w:ascii="Titillium" w:hAnsi="Titillium" w:cs="Calibri"/>
          <w:sz w:val="18"/>
          <w:szCs w:val="18"/>
        </w:rPr>
        <w:t xml:space="preserve"> La mancata effettuazione del sopralluogo </w:t>
      </w:r>
      <w:r w:rsidRPr="00EC088D">
        <w:rPr>
          <w:rFonts w:ascii="Titillium" w:hAnsi="Titillium" w:cs="Calibri"/>
          <w:sz w:val="18"/>
          <w:szCs w:val="18"/>
        </w:rPr>
        <w:t>è causa di esclusione dalla</w:t>
      </w:r>
      <w:r>
        <w:rPr>
          <w:rFonts w:ascii="Titillium" w:hAnsi="Titillium" w:cs="Calibri"/>
          <w:sz w:val="18"/>
          <w:szCs w:val="18"/>
        </w:rPr>
        <w:t xml:space="preserve"> procedura di gara.</w:t>
      </w:r>
    </w:p>
    <w:p w14:paraId="22644B49" w14:textId="0AD03C81" w:rsidR="004C53A8" w:rsidRDefault="00870286">
      <w:pPr>
        <w:spacing w:before="60" w:after="60"/>
      </w:pPr>
      <w:r>
        <w:rPr>
          <w:rFonts w:ascii="Titillium" w:hAnsi="Titillium" w:cs="Calibri"/>
          <w:sz w:val="18"/>
          <w:szCs w:val="18"/>
        </w:rPr>
        <w:t xml:space="preserve">Il sopralluogo è effettuato </w:t>
      </w:r>
      <w:r w:rsidR="004412F8">
        <w:rPr>
          <w:rFonts w:ascii="Titillium" w:hAnsi="Titillium" w:cs="Calibri"/>
          <w:sz w:val="18"/>
          <w:szCs w:val="18"/>
        </w:rPr>
        <w:t>accedendo di persona nelle aree oggetto di sopralluogo o a distanza.</w:t>
      </w:r>
    </w:p>
    <w:p w14:paraId="7B0149CA" w14:textId="2A97D5E8" w:rsidR="004C53A8" w:rsidRDefault="00870286">
      <w:pPr>
        <w:spacing w:before="60" w:after="60"/>
      </w:pPr>
      <w:r>
        <w:rPr>
          <w:rFonts w:ascii="Titillium" w:hAnsi="Titillium" w:cs="Calibri"/>
          <w:sz w:val="18"/>
          <w:szCs w:val="18"/>
        </w:rPr>
        <w:t xml:space="preserve">Il sopralluogo può essere effettuato </w:t>
      </w:r>
      <w:r w:rsidR="004412F8" w:rsidRPr="004C6FBF">
        <w:rPr>
          <w:rFonts w:ascii="Titillium" w:hAnsi="Titillium" w:cs="Calibri"/>
          <w:i/>
          <w:sz w:val="18"/>
          <w:szCs w:val="18"/>
        </w:rPr>
        <w:t>… [indicare o i giorni prestabiliti dalla stazione appaltante e/o la possibilità di concordare i giorni in cui svolgerlo</w:t>
      </w:r>
      <w:r w:rsidR="004C6FBF" w:rsidRPr="004C6FBF">
        <w:rPr>
          <w:rFonts w:ascii="Titillium" w:hAnsi="Titillium" w:cs="Calibri"/>
          <w:i/>
          <w:sz w:val="18"/>
          <w:szCs w:val="18"/>
        </w:rPr>
        <w:t xml:space="preserve"> di persona o</w:t>
      </w:r>
      <w:r w:rsidR="004C6FBF" w:rsidRPr="00955636">
        <w:rPr>
          <w:rFonts w:ascii="Titillium" w:hAnsi="Titillium" w:cs="Calibri"/>
          <w:i/>
          <w:sz w:val="18"/>
          <w:szCs w:val="18"/>
        </w:rPr>
        <w:t xml:space="preserve"> indicare come effettuare il sopralluogo a distanza, ad esempio collegandosi ad un link </w:t>
      </w:r>
      <w:r w:rsidR="00955636">
        <w:rPr>
          <w:rFonts w:ascii="Titillium" w:hAnsi="Titillium" w:cs="Calibri"/>
          <w:i/>
          <w:sz w:val="18"/>
          <w:szCs w:val="18"/>
        </w:rPr>
        <w:t>inserito nella Piattaforma</w:t>
      </w:r>
      <w:r w:rsidR="004412F8" w:rsidRPr="004C6FBF">
        <w:rPr>
          <w:rFonts w:ascii="Titillium" w:hAnsi="Titillium" w:cs="Calibri"/>
          <w:i/>
          <w:sz w:val="18"/>
          <w:szCs w:val="18"/>
        </w:rPr>
        <w:t>]</w:t>
      </w:r>
      <w:r w:rsidR="004412F8">
        <w:rPr>
          <w:rFonts w:ascii="Titillium" w:hAnsi="Titillium" w:cs="Calibri"/>
          <w:sz w:val="18"/>
          <w:szCs w:val="18"/>
        </w:rPr>
        <w:t xml:space="preserve">. </w:t>
      </w:r>
    </w:p>
    <w:p w14:paraId="6445AB22" w14:textId="66BEF7D2" w:rsidR="004C53A8" w:rsidRDefault="00870286">
      <w:pPr>
        <w:spacing w:before="60" w:after="60"/>
      </w:pPr>
      <w:r>
        <w:rPr>
          <w:rFonts w:ascii="Titillium" w:hAnsi="Titillium" w:cs="Calibri"/>
          <w:sz w:val="18"/>
          <w:szCs w:val="18"/>
        </w:rPr>
        <w:t xml:space="preserve">La richiesta di sopralluogo deve essere presentata </w:t>
      </w:r>
      <w:r w:rsidR="00CF3AD8">
        <w:rPr>
          <w:rFonts w:ascii="Titillium" w:hAnsi="Titillium" w:cs="Calibri"/>
          <w:sz w:val="18"/>
          <w:szCs w:val="18"/>
        </w:rPr>
        <w:t xml:space="preserve">entro le ore </w:t>
      </w:r>
      <w:r w:rsidR="00CF3AD8" w:rsidRPr="004C6FBF">
        <w:rPr>
          <w:rFonts w:ascii="Titillium" w:hAnsi="Titillium" w:cs="Calibri"/>
          <w:i/>
          <w:sz w:val="18"/>
          <w:szCs w:val="18"/>
        </w:rPr>
        <w:t>... [indicare]</w:t>
      </w:r>
      <w:r w:rsidR="00CF3AD8">
        <w:rPr>
          <w:rFonts w:ascii="Titillium" w:hAnsi="Titillium" w:cs="Calibri"/>
          <w:sz w:val="18"/>
          <w:szCs w:val="18"/>
        </w:rPr>
        <w:t xml:space="preserve"> del giorno …</w:t>
      </w:r>
      <w:r w:rsidR="00CF3AD8">
        <w:rPr>
          <w:rFonts w:ascii="Titillium" w:hAnsi="Titillium" w:cs="Calibri"/>
          <w:i/>
          <w:sz w:val="18"/>
          <w:szCs w:val="18"/>
        </w:rPr>
        <w:t xml:space="preserve"> </w:t>
      </w:r>
      <w:r w:rsidR="00CF3AD8" w:rsidRPr="004C6FBF">
        <w:rPr>
          <w:rFonts w:ascii="Titillium" w:hAnsi="Titillium" w:cs="Calibri"/>
          <w:i/>
          <w:sz w:val="18"/>
          <w:szCs w:val="18"/>
        </w:rPr>
        <w:t xml:space="preserve">[indicare], </w:t>
      </w:r>
      <w:r>
        <w:rPr>
          <w:rFonts w:ascii="Titillium" w:hAnsi="Titillium" w:cs="Calibri"/>
          <w:sz w:val="18"/>
          <w:szCs w:val="18"/>
        </w:rPr>
        <w:t>tramite la Piattaforma alla</w:t>
      </w:r>
      <w:r>
        <w:rPr>
          <w:rFonts w:ascii="Titillium" w:hAnsi="Titillium" w:cs="Calibri"/>
          <w:i/>
          <w:sz w:val="18"/>
          <w:szCs w:val="18"/>
        </w:rPr>
        <w:t xml:space="preserve"> </w:t>
      </w:r>
      <w:r>
        <w:rPr>
          <w:rFonts w:ascii="Titillium" w:hAnsi="Titillium" w:cs="Calibri"/>
          <w:sz w:val="18"/>
          <w:szCs w:val="18"/>
        </w:rPr>
        <w:t>Sezione</w:t>
      </w:r>
      <w:r>
        <w:rPr>
          <w:rFonts w:ascii="Titillium" w:hAnsi="Titillium" w:cs="Calibri"/>
          <w:i/>
          <w:sz w:val="18"/>
          <w:szCs w:val="18"/>
        </w:rPr>
        <w:t xml:space="preserve"> </w:t>
      </w:r>
      <w:r w:rsidR="00CF3AD8">
        <w:rPr>
          <w:rFonts w:ascii="Titillium" w:hAnsi="Titillium" w:cs="Calibri"/>
          <w:sz w:val="18"/>
          <w:szCs w:val="18"/>
        </w:rPr>
        <w:t>…</w:t>
      </w:r>
      <w:r>
        <w:rPr>
          <w:rFonts w:ascii="Titillium" w:hAnsi="Titillium" w:cs="Calibri"/>
          <w:sz w:val="18"/>
          <w:szCs w:val="18"/>
        </w:rPr>
        <w:t xml:space="preserve"> </w:t>
      </w:r>
      <w:r w:rsidRPr="004C6FBF">
        <w:rPr>
          <w:rFonts w:ascii="Titillium" w:hAnsi="Titillium" w:cs="Calibri"/>
          <w:i/>
          <w:sz w:val="18"/>
          <w:szCs w:val="18"/>
        </w:rPr>
        <w:t>[indicare]</w:t>
      </w:r>
      <w:r>
        <w:rPr>
          <w:rFonts w:ascii="Titillium" w:hAnsi="Titillium" w:cs="Calibri"/>
          <w:sz w:val="18"/>
          <w:szCs w:val="18"/>
        </w:rPr>
        <w:t xml:space="preserve"> e deve riportare il nominativo e la qualifica della persona incaricata di effettuare il sopralluogo. </w:t>
      </w:r>
    </w:p>
    <w:p w14:paraId="45DAF81C" w14:textId="5B5E1246" w:rsidR="004C53A8" w:rsidRPr="007F7B02" w:rsidRDefault="00870286" w:rsidP="007F7B02">
      <w:pPr>
        <w:spacing w:before="60" w:after="60"/>
        <w:rPr>
          <w:rFonts w:ascii="Titillium" w:hAnsi="Titillium" w:cs="Calibri"/>
          <w:sz w:val="18"/>
          <w:szCs w:val="18"/>
        </w:rPr>
      </w:pPr>
      <w:r>
        <w:rPr>
          <w:rFonts w:ascii="Titillium" w:hAnsi="Titillium" w:cs="Calibri"/>
          <w:sz w:val="18"/>
          <w:szCs w:val="18"/>
        </w:rPr>
        <w:t xml:space="preserve">Data, ora e luogo </w:t>
      </w:r>
      <w:r w:rsidR="00955636" w:rsidRPr="00955636">
        <w:rPr>
          <w:rFonts w:ascii="Titillium" w:hAnsi="Titillium" w:cs="Calibri"/>
          <w:i/>
          <w:sz w:val="18"/>
          <w:szCs w:val="18"/>
        </w:rPr>
        <w:t xml:space="preserve">[fisico in caso di sopralluogo effettuato di persona o </w:t>
      </w:r>
      <w:r w:rsidR="00B33BC1">
        <w:rPr>
          <w:rFonts w:ascii="Titillium" w:hAnsi="Titillium" w:cs="Calibri"/>
          <w:i/>
          <w:sz w:val="18"/>
          <w:szCs w:val="18"/>
        </w:rPr>
        <w:t>link o area della Piattaforma</w:t>
      </w:r>
      <w:r w:rsidR="00955636" w:rsidRPr="00955636">
        <w:rPr>
          <w:rFonts w:ascii="Titillium" w:hAnsi="Titillium" w:cs="Calibri"/>
          <w:i/>
          <w:sz w:val="18"/>
          <w:szCs w:val="18"/>
        </w:rPr>
        <w:t xml:space="preserve"> in caso di sopralluogo virtuale]</w:t>
      </w:r>
      <w:r w:rsidR="00955636">
        <w:rPr>
          <w:rFonts w:ascii="Titillium" w:hAnsi="Titillium" w:cs="Calibri"/>
          <w:sz w:val="18"/>
          <w:szCs w:val="18"/>
        </w:rPr>
        <w:t xml:space="preserve"> </w:t>
      </w:r>
      <w:r>
        <w:rPr>
          <w:rFonts w:ascii="Titillium" w:hAnsi="Titillium" w:cs="Calibri"/>
          <w:sz w:val="18"/>
          <w:szCs w:val="18"/>
        </w:rPr>
        <w:t xml:space="preserve">del sopralluogo sono comunicati ai concorrenti con almeno ... </w:t>
      </w:r>
      <w:r w:rsidRPr="00955636">
        <w:rPr>
          <w:rFonts w:ascii="Titillium" w:hAnsi="Titillium" w:cs="Calibri"/>
          <w:i/>
          <w:sz w:val="18"/>
          <w:szCs w:val="18"/>
        </w:rPr>
        <w:t>[indicare]</w:t>
      </w:r>
      <w:r>
        <w:rPr>
          <w:rFonts w:ascii="Titillium" w:hAnsi="Titillium" w:cs="Calibri"/>
          <w:sz w:val="18"/>
          <w:szCs w:val="18"/>
        </w:rPr>
        <w:t xml:space="preserve"> giorni di anticipo. </w:t>
      </w:r>
      <w:r w:rsidR="007F7B02" w:rsidRPr="007F7B02">
        <w:rPr>
          <w:rFonts w:ascii="Titillium" w:hAnsi="Titillium" w:cs="Calibri"/>
          <w:sz w:val="18"/>
          <w:szCs w:val="18"/>
        </w:rPr>
        <w:t>Viene rilasciata attestazione di avvenuto svolgimento del sopralluogo.</w:t>
      </w:r>
    </w:p>
    <w:p w14:paraId="0B3209C2" w14:textId="6696ACE8" w:rsidR="00CC69B5" w:rsidRDefault="00CC69B5">
      <w:pPr>
        <w:spacing w:before="60" w:after="60"/>
        <w:rPr>
          <w:rFonts w:ascii="Titillium" w:hAnsi="Titillium" w:cs="Calibri"/>
          <w:sz w:val="18"/>
          <w:szCs w:val="18"/>
        </w:rPr>
      </w:pPr>
      <w:r w:rsidRPr="00CC69B5">
        <w:rPr>
          <w:rFonts w:ascii="Titillium" w:hAnsi="Titillium" w:cs="Calibri"/>
          <w:sz w:val="18"/>
          <w:szCs w:val="18"/>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r w:rsidR="00C33490">
        <w:rPr>
          <w:rFonts w:ascii="Titillium" w:hAnsi="Titillium" w:cs="Calibri"/>
          <w:sz w:val="18"/>
          <w:szCs w:val="18"/>
        </w:rPr>
        <w:t>.</w:t>
      </w:r>
    </w:p>
    <w:p w14:paraId="7C6D1732" w14:textId="258BDFE0" w:rsidR="004C53A8" w:rsidRDefault="00870286">
      <w:pPr>
        <w:spacing w:before="60" w:after="60"/>
        <w:rPr>
          <w:rFonts w:ascii="Titillium" w:hAnsi="Titillium" w:cs="Calibri"/>
          <w:sz w:val="18"/>
          <w:szCs w:val="18"/>
        </w:rPr>
      </w:pPr>
      <w:r>
        <w:rPr>
          <w:rFonts w:ascii="Titillium" w:hAnsi="Titillium" w:cs="Calibri"/>
          <w:sz w:val="18"/>
          <w:szCs w:val="18"/>
        </w:rPr>
        <w:t xml:space="preserve">Il soggetto delegato ad effettuare il sopralluogo non può ricevere l’incarico da più concorrenti. </w:t>
      </w:r>
      <w:r w:rsidRPr="007F7B02">
        <w:rPr>
          <w:rFonts w:ascii="Titillium" w:hAnsi="Titillium" w:cs="Calibri"/>
          <w:sz w:val="18"/>
          <w:szCs w:val="18"/>
        </w:rPr>
        <w:t>In tal caso la stazione appaltante non rilasc</w:t>
      </w:r>
      <w:r w:rsidR="00955636" w:rsidRPr="007F7B02">
        <w:rPr>
          <w:rFonts w:ascii="Titillium" w:hAnsi="Titillium" w:cs="Calibri"/>
          <w:sz w:val="18"/>
          <w:szCs w:val="18"/>
        </w:rPr>
        <w:t>ia</w:t>
      </w:r>
      <w:r w:rsidRPr="007F7B02">
        <w:rPr>
          <w:rFonts w:ascii="Titillium" w:hAnsi="Titillium" w:cs="Calibri"/>
          <w:sz w:val="18"/>
          <w:szCs w:val="18"/>
        </w:rPr>
        <w:t xml:space="preserve"> la relativa attestazione ad alcuno dei soggetti deleganti</w:t>
      </w:r>
      <w:r>
        <w:rPr>
          <w:rFonts w:ascii="Titillium" w:hAnsi="Titillium" w:cs="Calibri"/>
          <w:sz w:val="18"/>
          <w:szCs w:val="18"/>
        </w:rPr>
        <w:t>.</w:t>
      </w:r>
    </w:p>
    <w:p w14:paraId="001FCEE1" w14:textId="2E13AAC3" w:rsidR="004C53A8" w:rsidRDefault="00870286">
      <w:pPr>
        <w:spacing w:before="60" w:after="60"/>
      </w:pPr>
      <w:r>
        <w:rPr>
          <w:rFonts w:ascii="Titillium" w:hAnsi="Titillium" w:cs="Calibri"/>
          <w:sz w:val="18"/>
          <w:szCs w:val="18"/>
        </w:rPr>
        <w:t xml:space="preserve">In caso </w:t>
      </w:r>
      <w:r w:rsidRPr="003D7007">
        <w:rPr>
          <w:rFonts w:ascii="Titillium" w:hAnsi="Titillium" w:cs="Calibri"/>
          <w:sz w:val="18"/>
          <w:szCs w:val="18"/>
        </w:rPr>
        <w:t>di raggruppamento temporaneo o consorzio ordinario già costituiti, GEIE, aggregazione di retisti, il sopralluogo può essere</w:t>
      </w:r>
      <w:r>
        <w:rPr>
          <w:rFonts w:ascii="Titillium" w:hAnsi="Titillium" w:cs="Calibri"/>
          <w:sz w:val="18"/>
          <w:szCs w:val="18"/>
        </w:rPr>
        <w:t xml:space="preserve"> effettuato da un rappresentante degli operatori economici raggruppati, aggregati in rete o consorziati, purché munito della delega del mandatario/capofila. </w:t>
      </w:r>
    </w:p>
    <w:p w14:paraId="5F504F00" w14:textId="1DB4F776" w:rsidR="004C53A8" w:rsidRPr="003D7007" w:rsidRDefault="00870286">
      <w:pPr>
        <w:spacing w:before="60" w:after="60"/>
      </w:pPr>
      <w:r w:rsidRPr="003D7007">
        <w:rPr>
          <w:rFonts w:ascii="Titillium" w:hAnsi="Titillium" w:cs="Calibri"/>
          <w:sz w:val="18"/>
          <w:szCs w:val="18"/>
        </w:rPr>
        <w:t>In caso di raggruppamento temporaneo o consorzio ordinario</w:t>
      </w:r>
      <w:r w:rsidR="00AC045C">
        <w:rPr>
          <w:rFonts w:ascii="Titillium" w:hAnsi="Titillium" w:cs="Calibri"/>
          <w:sz w:val="18"/>
          <w:szCs w:val="18"/>
        </w:rPr>
        <w:t xml:space="preserve">, </w:t>
      </w:r>
      <w:r w:rsidRPr="003D7007">
        <w:rPr>
          <w:rFonts w:ascii="Titillium" w:hAnsi="Titillium" w:cs="Calibri"/>
          <w:sz w:val="18"/>
          <w:szCs w:val="18"/>
        </w:rPr>
        <w:t xml:space="preserve">aggregazione di retisti </w:t>
      </w:r>
      <w:r w:rsidR="005423E5" w:rsidRPr="005423E5">
        <w:rPr>
          <w:rFonts w:ascii="Titillium" w:hAnsi="Titillium" w:cs="Calibri"/>
          <w:sz w:val="18"/>
          <w:szCs w:val="18"/>
        </w:rPr>
        <w:t>non ancora costituiti</w:t>
      </w:r>
      <w:r w:rsidRPr="003D7007">
        <w:rPr>
          <w:rFonts w:ascii="Titillium" w:hAnsi="Titillium" w:cs="Calibri"/>
          <w:sz w:val="18"/>
          <w:szCs w:val="18"/>
        </w:rPr>
        <w:t xml:space="preserve">, il sopralluogo è effettuato da un rappresentante </w:t>
      </w:r>
      <w:r w:rsidR="005423E5">
        <w:rPr>
          <w:rFonts w:ascii="Titillium" w:hAnsi="Titillium" w:cs="Calibri"/>
          <w:sz w:val="18"/>
          <w:szCs w:val="18"/>
        </w:rPr>
        <w:t xml:space="preserve">di uno </w:t>
      </w:r>
      <w:r w:rsidRPr="003D7007">
        <w:rPr>
          <w:rFonts w:ascii="Titillium" w:hAnsi="Titillium" w:cs="Calibri"/>
          <w:sz w:val="18"/>
          <w:szCs w:val="18"/>
        </w:rPr>
        <w:t xml:space="preserve">degli operatori economici </w:t>
      </w:r>
      <w:r w:rsidR="006D3FC5">
        <w:rPr>
          <w:rFonts w:ascii="Titillium" w:hAnsi="Titillium" w:cs="Calibri"/>
          <w:sz w:val="18"/>
          <w:szCs w:val="18"/>
        </w:rPr>
        <w:t xml:space="preserve">che costituiranno il </w:t>
      </w:r>
      <w:r w:rsidRPr="003D7007">
        <w:rPr>
          <w:rFonts w:ascii="Titillium" w:hAnsi="Titillium" w:cs="Calibri"/>
          <w:sz w:val="18"/>
          <w:szCs w:val="18"/>
        </w:rPr>
        <w:t>raggruppa</w:t>
      </w:r>
      <w:r w:rsidR="006D3FC5">
        <w:rPr>
          <w:rFonts w:ascii="Titillium" w:hAnsi="Titillium" w:cs="Calibri"/>
          <w:sz w:val="18"/>
          <w:szCs w:val="18"/>
        </w:rPr>
        <w:t>mento</w:t>
      </w:r>
      <w:r w:rsidR="00803687">
        <w:rPr>
          <w:rFonts w:ascii="Titillium" w:hAnsi="Titillium" w:cs="Calibri"/>
          <w:sz w:val="18"/>
          <w:szCs w:val="18"/>
        </w:rPr>
        <w:t xml:space="preserve"> o</w:t>
      </w:r>
      <w:r w:rsidRPr="003D7007">
        <w:rPr>
          <w:rFonts w:ascii="Titillium" w:hAnsi="Titillium" w:cs="Calibri"/>
          <w:sz w:val="18"/>
          <w:szCs w:val="18"/>
        </w:rPr>
        <w:t xml:space="preserve"> </w:t>
      </w:r>
      <w:r w:rsidR="00125A3E">
        <w:rPr>
          <w:rFonts w:ascii="Titillium" w:hAnsi="Titillium" w:cs="Calibri"/>
          <w:sz w:val="18"/>
          <w:szCs w:val="18"/>
        </w:rPr>
        <w:t>l’</w:t>
      </w:r>
      <w:r w:rsidR="00125A3E" w:rsidRPr="003D7007">
        <w:rPr>
          <w:rFonts w:ascii="Titillium" w:hAnsi="Titillium" w:cs="Calibri"/>
          <w:sz w:val="18"/>
          <w:szCs w:val="18"/>
        </w:rPr>
        <w:t>aggrega</w:t>
      </w:r>
      <w:r w:rsidR="00125A3E">
        <w:rPr>
          <w:rFonts w:ascii="Titillium" w:hAnsi="Titillium" w:cs="Calibri"/>
          <w:sz w:val="18"/>
          <w:szCs w:val="18"/>
        </w:rPr>
        <w:t xml:space="preserve">zione </w:t>
      </w:r>
      <w:r w:rsidR="00125A3E" w:rsidRPr="003D7007">
        <w:rPr>
          <w:rFonts w:ascii="Titillium" w:hAnsi="Titillium" w:cs="Calibri"/>
          <w:sz w:val="18"/>
          <w:szCs w:val="18"/>
        </w:rPr>
        <w:t>in</w:t>
      </w:r>
      <w:r w:rsidRPr="003D7007">
        <w:rPr>
          <w:rFonts w:ascii="Titillium" w:hAnsi="Titillium" w:cs="Calibri"/>
          <w:sz w:val="18"/>
          <w:szCs w:val="18"/>
        </w:rPr>
        <w:t xml:space="preserve"> rete o </w:t>
      </w:r>
      <w:r w:rsidR="006D3FC5">
        <w:rPr>
          <w:rFonts w:ascii="Titillium" w:hAnsi="Titillium" w:cs="Calibri"/>
          <w:sz w:val="18"/>
          <w:szCs w:val="18"/>
        </w:rPr>
        <w:t xml:space="preserve">il </w:t>
      </w:r>
      <w:r w:rsidRPr="003D7007">
        <w:rPr>
          <w:rFonts w:ascii="Titillium" w:hAnsi="Titillium" w:cs="Calibri"/>
          <w:sz w:val="18"/>
          <w:szCs w:val="18"/>
        </w:rPr>
        <w:t>consorzi</w:t>
      </w:r>
      <w:r w:rsidR="006D3FC5">
        <w:rPr>
          <w:rFonts w:ascii="Titillium" w:hAnsi="Titillium" w:cs="Calibri"/>
          <w:sz w:val="18"/>
          <w:szCs w:val="18"/>
        </w:rPr>
        <w:t>o</w:t>
      </w:r>
      <w:r w:rsidRPr="003D7007">
        <w:rPr>
          <w:rFonts w:ascii="Titillium" w:hAnsi="Titillium" w:cs="Calibri"/>
          <w:sz w:val="18"/>
          <w:szCs w:val="18"/>
        </w:rPr>
        <w:t xml:space="preserve">, purché munito della delega di </w:t>
      </w:r>
      <w:r w:rsidR="008D35C9" w:rsidRPr="003D7007">
        <w:rPr>
          <w:rFonts w:ascii="Titillium" w:hAnsi="Titillium" w:cs="Calibri"/>
          <w:sz w:val="18"/>
          <w:szCs w:val="18"/>
        </w:rPr>
        <w:t xml:space="preserve">almeno uno di </w:t>
      </w:r>
      <w:r w:rsidRPr="003D7007">
        <w:rPr>
          <w:rFonts w:ascii="Titillium" w:hAnsi="Titillium" w:cs="Calibri"/>
          <w:sz w:val="18"/>
          <w:szCs w:val="18"/>
        </w:rPr>
        <w:t xml:space="preserve">detti operatori. </w:t>
      </w:r>
    </w:p>
    <w:p w14:paraId="26F394DC" w14:textId="18ED0D4B" w:rsidR="004C53A8" w:rsidRDefault="00870286">
      <w:pPr>
        <w:spacing w:before="60" w:after="60"/>
        <w:rPr>
          <w:rFonts w:ascii="Titillium" w:hAnsi="Titillium" w:cs="Calibri"/>
          <w:sz w:val="18"/>
          <w:szCs w:val="18"/>
        </w:rPr>
      </w:pPr>
      <w:r w:rsidRPr="003D7007">
        <w:rPr>
          <w:rFonts w:ascii="Titillium" w:hAnsi="Titillium" w:cs="Calibri"/>
          <w:sz w:val="18"/>
          <w:szCs w:val="18"/>
        </w:rPr>
        <w:t>In caso di consorzio di cui all’articolo 45, comma 2, lettera b) e c) del Codice il sopralluogo deve essere effettuato da soggetto munito di delega conferita dal consorzio oppure dall’operatore economico consorziato indicato come esecutore</w:t>
      </w:r>
      <w:r>
        <w:rPr>
          <w:rFonts w:ascii="Titillium" w:hAnsi="Titillium" w:cs="Calibri"/>
          <w:sz w:val="18"/>
          <w:szCs w:val="18"/>
        </w:rPr>
        <w:t>.</w:t>
      </w:r>
    </w:p>
    <w:tbl>
      <w:tblPr>
        <w:tblW w:w="9210" w:type="dxa"/>
        <w:tblInd w:w="-108" w:type="dxa"/>
        <w:tblLook w:val="04A0" w:firstRow="1" w:lastRow="0" w:firstColumn="1" w:lastColumn="0" w:noHBand="0" w:noVBand="1"/>
      </w:tblPr>
      <w:tblGrid>
        <w:gridCol w:w="9210"/>
      </w:tblGrid>
      <w:tr w:rsidR="004C53A8" w14:paraId="1D2FB2F5" w14:textId="77777777">
        <w:tc>
          <w:tcPr>
            <w:tcW w:w="9210" w:type="dxa"/>
            <w:tcBorders>
              <w:top w:val="single" w:sz="4" w:space="0" w:color="000000"/>
              <w:left w:val="single" w:sz="4" w:space="0" w:color="000000"/>
              <w:bottom w:val="single" w:sz="4" w:space="0" w:color="000000"/>
              <w:right w:val="single" w:sz="4" w:space="0" w:color="000000"/>
            </w:tcBorders>
          </w:tcPr>
          <w:p w14:paraId="66607D3E" w14:textId="4EC9952E" w:rsidR="004C53A8" w:rsidRDefault="00870286">
            <w:pPr>
              <w:spacing w:before="60" w:after="60"/>
            </w:pPr>
            <w:r>
              <w:rPr>
                <w:rFonts w:ascii="Titillium" w:hAnsi="Titillium" w:cs="Calibri"/>
                <w:i/>
                <w:sz w:val="18"/>
                <w:szCs w:val="18"/>
              </w:rPr>
              <w:t xml:space="preserve">N.B. Per le procedure avviate </w:t>
            </w:r>
            <w:r w:rsidR="006E7208">
              <w:rPr>
                <w:rFonts w:ascii="Titillium" w:hAnsi="Titillium" w:cs="Calibri"/>
                <w:i/>
                <w:sz w:val="18"/>
                <w:szCs w:val="18"/>
              </w:rPr>
              <w:t xml:space="preserve">entro </w:t>
            </w:r>
            <w:r>
              <w:rPr>
                <w:rFonts w:ascii="Titillium" w:hAnsi="Titillium" w:cs="Calibri"/>
                <w:i/>
                <w:sz w:val="18"/>
                <w:szCs w:val="18"/>
              </w:rPr>
              <w:t xml:space="preserve">la data del 30 giugno 2023 </w:t>
            </w:r>
            <w:r w:rsidR="006E7208">
              <w:rPr>
                <w:rFonts w:ascii="Titillium" w:hAnsi="Titillium" w:cs="Calibri"/>
                <w:i/>
                <w:sz w:val="18"/>
                <w:szCs w:val="18"/>
              </w:rPr>
              <w:t>i</w:t>
            </w:r>
            <w:r>
              <w:rPr>
                <w:rFonts w:ascii="Titillium" w:hAnsi="Titillium" w:cs="Calibri"/>
                <w:i/>
                <w:sz w:val="18"/>
                <w:szCs w:val="18"/>
              </w:rPr>
              <w:t xml:space="preserve">l sopralluogo può essere richiesto solo quando è </w:t>
            </w:r>
            <w:r w:rsidR="006E7208">
              <w:rPr>
                <w:rFonts w:ascii="Titillium" w:hAnsi="Titillium" w:cs="Calibri"/>
                <w:i/>
                <w:sz w:val="18"/>
                <w:szCs w:val="18"/>
              </w:rPr>
              <w:t xml:space="preserve">strettamente </w:t>
            </w:r>
            <w:r>
              <w:rPr>
                <w:rFonts w:ascii="Titillium" w:hAnsi="Titillium" w:cs="Calibri"/>
                <w:i/>
                <w:sz w:val="18"/>
                <w:szCs w:val="18"/>
              </w:rPr>
              <w:t>necessario per la predisposizione delle offerte</w:t>
            </w:r>
            <w:r w:rsidR="006E7208">
              <w:rPr>
                <w:rFonts w:ascii="Titillium" w:hAnsi="Titillium" w:cs="Calibri"/>
                <w:i/>
                <w:sz w:val="18"/>
                <w:szCs w:val="18"/>
              </w:rPr>
              <w:t xml:space="preserve"> i</w:t>
            </w:r>
            <w:r>
              <w:rPr>
                <w:rFonts w:ascii="Titillium" w:hAnsi="Titillium" w:cs="Calibri"/>
                <w:i/>
                <w:sz w:val="18"/>
                <w:szCs w:val="18"/>
              </w:rPr>
              <w:t>n considerazione di quanto previsto dall’articolo 8, comma 1, l</w:t>
            </w:r>
            <w:r w:rsidR="003D7007">
              <w:rPr>
                <w:rFonts w:ascii="Titillium" w:hAnsi="Titillium" w:cs="Calibri"/>
                <w:i/>
                <w:sz w:val="18"/>
                <w:szCs w:val="18"/>
              </w:rPr>
              <w:t>ettera b), decreto legge n.76/</w:t>
            </w:r>
            <w:r>
              <w:rPr>
                <w:rFonts w:ascii="Titillium" w:hAnsi="Titillium" w:cs="Calibri"/>
                <w:i/>
                <w:sz w:val="18"/>
                <w:szCs w:val="18"/>
              </w:rPr>
              <w:t xml:space="preserve">20, convertito </w:t>
            </w:r>
            <w:r w:rsidR="00272736">
              <w:rPr>
                <w:rFonts w:ascii="Titillium" w:hAnsi="Titillium" w:cs="Calibri"/>
                <w:i/>
                <w:sz w:val="18"/>
                <w:szCs w:val="18"/>
              </w:rPr>
              <w:t xml:space="preserve">in </w:t>
            </w:r>
            <w:r>
              <w:rPr>
                <w:rFonts w:ascii="Titillium" w:hAnsi="Titillium" w:cs="Calibri"/>
                <w:i/>
                <w:sz w:val="18"/>
                <w:szCs w:val="18"/>
              </w:rPr>
              <w:t>legge</w:t>
            </w:r>
            <w:r w:rsidR="00272736">
              <w:rPr>
                <w:rFonts w:ascii="Titillium" w:hAnsi="Titillium" w:cs="Calibri"/>
                <w:i/>
                <w:sz w:val="18"/>
                <w:szCs w:val="18"/>
              </w:rPr>
              <w:t xml:space="preserve"> n. </w:t>
            </w:r>
            <w:r w:rsidR="003D7007">
              <w:rPr>
                <w:rFonts w:ascii="Titillium" w:hAnsi="Titillium" w:cs="Calibri"/>
                <w:i/>
                <w:sz w:val="18"/>
                <w:szCs w:val="18"/>
              </w:rPr>
              <w:t>120/</w:t>
            </w:r>
            <w:r>
              <w:rPr>
                <w:rFonts w:ascii="Titillium" w:hAnsi="Titillium" w:cs="Calibri"/>
                <w:i/>
                <w:sz w:val="18"/>
                <w:szCs w:val="18"/>
              </w:rPr>
              <w:t>20, come modificato dal decreto legge n.</w:t>
            </w:r>
            <w:r w:rsidR="00272736">
              <w:rPr>
                <w:rFonts w:ascii="Titillium" w:hAnsi="Titillium" w:cs="Calibri"/>
                <w:i/>
                <w:sz w:val="18"/>
                <w:szCs w:val="18"/>
              </w:rPr>
              <w:t xml:space="preserve"> </w:t>
            </w:r>
            <w:r w:rsidR="003D7007">
              <w:rPr>
                <w:rFonts w:ascii="Titillium" w:hAnsi="Titillium" w:cs="Calibri"/>
                <w:i/>
                <w:sz w:val="18"/>
                <w:szCs w:val="18"/>
              </w:rPr>
              <w:t>77/</w:t>
            </w:r>
            <w:r>
              <w:rPr>
                <w:rFonts w:ascii="Titillium" w:hAnsi="Titillium" w:cs="Calibri"/>
                <w:i/>
                <w:sz w:val="18"/>
                <w:szCs w:val="18"/>
              </w:rPr>
              <w:t>21</w:t>
            </w:r>
            <w:r w:rsidR="003D7007">
              <w:rPr>
                <w:rFonts w:ascii="Titillium" w:hAnsi="Titillium" w:cs="Calibri"/>
                <w:i/>
                <w:sz w:val="18"/>
                <w:szCs w:val="18"/>
              </w:rPr>
              <w:t>, convertito in legge n.108/</w:t>
            </w:r>
            <w:r w:rsidR="00272736">
              <w:rPr>
                <w:rFonts w:ascii="Titillium" w:hAnsi="Titillium" w:cs="Calibri"/>
                <w:i/>
                <w:sz w:val="18"/>
                <w:szCs w:val="18"/>
              </w:rPr>
              <w:t>21</w:t>
            </w:r>
            <w:r>
              <w:rPr>
                <w:rFonts w:ascii="Titillium" w:hAnsi="Titillium" w:cs="Calibri"/>
                <w:i/>
                <w:sz w:val="18"/>
                <w:szCs w:val="18"/>
              </w:rPr>
              <w:t>.</w:t>
            </w:r>
          </w:p>
          <w:p w14:paraId="1EB191B6" w14:textId="3A30B0A4" w:rsidR="004C53A8" w:rsidRDefault="00CF3AD8" w:rsidP="008D35C9">
            <w:pPr>
              <w:spacing w:before="60" w:after="60"/>
            </w:pPr>
            <w:r>
              <w:rPr>
                <w:rFonts w:ascii="Titillium" w:hAnsi="Titillium" w:cs="Calibri"/>
                <w:i/>
                <w:sz w:val="18"/>
                <w:szCs w:val="18"/>
              </w:rPr>
              <w:t xml:space="preserve">I </w:t>
            </w:r>
            <w:r w:rsidR="00870286">
              <w:rPr>
                <w:rFonts w:ascii="Titillium" w:hAnsi="Titillium" w:cs="Calibri"/>
                <w:i/>
                <w:sz w:val="18"/>
                <w:szCs w:val="18"/>
              </w:rPr>
              <w:t>sopralluog</w:t>
            </w:r>
            <w:r>
              <w:rPr>
                <w:rFonts w:ascii="Titillium" w:hAnsi="Titillium" w:cs="Calibri"/>
                <w:i/>
                <w:sz w:val="18"/>
                <w:szCs w:val="18"/>
              </w:rPr>
              <w:t xml:space="preserve">hi devono essere fissati in date tali da consentire agli operatori economici di poter effettuare eventuali richieste di chiarimenti ovvero di regola almeno </w:t>
            </w:r>
            <w:r w:rsidR="008D35C9">
              <w:rPr>
                <w:rFonts w:ascii="Titillium" w:hAnsi="Titillium" w:cs="Calibri"/>
                <w:i/>
                <w:sz w:val="18"/>
                <w:szCs w:val="18"/>
              </w:rPr>
              <w:t xml:space="preserve">tre giorni </w:t>
            </w:r>
            <w:r>
              <w:rPr>
                <w:rFonts w:ascii="Titillium" w:hAnsi="Titillium" w:cs="Calibri"/>
                <w:i/>
                <w:sz w:val="18"/>
                <w:szCs w:val="18"/>
              </w:rPr>
              <w:t>prima della scadenza del termine per la richiesta dei chiarimenti.</w:t>
            </w:r>
          </w:p>
        </w:tc>
      </w:tr>
    </w:tbl>
    <w:p w14:paraId="4506D22D" w14:textId="34AFB9C6" w:rsidR="004C53A8" w:rsidRDefault="00870286">
      <w:pPr>
        <w:pStyle w:val="Titolo2"/>
        <w:numPr>
          <w:ilvl w:val="0"/>
          <w:numId w:val="4"/>
        </w:numPr>
        <w:ind w:left="357" w:hanging="357"/>
      </w:pPr>
      <w:bookmarkStart w:id="1735" w:name="_Toc95495897"/>
      <w:r>
        <w:rPr>
          <w:rFonts w:ascii="Titillium" w:hAnsi="Titillium"/>
          <w:sz w:val="18"/>
          <w:szCs w:val="18"/>
          <w:lang w:val="it-IT"/>
        </w:rPr>
        <w:t>PAGAMENTO DEL CONTRIBUTO A FAVORE DELL’</w:t>
      </w:r>
      <w:r>
        <w:rPr>
          <w:rFonts w:ascii="Titillium" w:hAnsi="Titillium" w:cs="Calibri"/>
          <w:sz w:val="18"/>
          <w:szCs w:val="18"/>
        </w:rPr>
        <w:t>ANAC</w:t>
      </w:r>
      <w:bookmarkStart w:id="1736" w:name="_Toc416423364"/>
      <w:bookmarkStart w:id="1737" w:name="_Toc406754179"/>
      <w:bookmarkStart w:id="1738" w:name="_Toc406058378"/>
      <w:bookmarkStart w:id="1739" w:name="_Toc403471272"/>
      <w:bookmarkStart w:id="1740" w:name="_Toc397422865"/>
      <w:bookmarkStart w:id="1741" w:name="_Toc397346824"/>
      <w:bookmarkStart w:id="1742" w:name="_Toc393706909"/>
      <w:bookmarkStart w:id="1743" w:name="_Toc393700836"/>
      <w:bookmarkStart w:id="1744" w:name="_Toc393283177"/>
      <w:bookmarkStart w:id="1745" w:name="_Toc393272661"/>
      <w:bookmarkStart w:id="1746" w:name="_Toc393272603"/>
      <w:bookmarkStart w:id="1747" w:name="_Toc393187847"/>
      <w:bookmarkStart w:id="1748" w:name="_Toc393112130"/>
      <w:bookmarkStart w:id="1749" w:name="_Toc393110566"/>
      <w:bookmarkStart w:id="1750" w:name="_Toc392577499"/>
      <w:bookmarkStart w:id="1751" w:name="_Toc391036058"/>
      <w:bookmarkStart w:id="1752" w:name="_Toc391035985"/>
      <w:bookmarkStart w:id="1753" w:name="_Toc380501872"/>
      <w:bookmarkStart w:id="1754" w:name="_Toc35403818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35"/>
    </w:p>
    <w:p w14:paraId="31B9EE07" w14:textId="4956EB0E" w:rsidR="004C53A8" w:rsidRDefault="00870286">
      <w:pPr>
        <w:spacing w:before="60" w:after="60"/>
      </w:pPr>
      <w:r w:rsidRPr="003D1CFD">
        <w:rPr>
          <w:rFonts w:ascii="Titillium" w:hAnsi="Titillium" w:cs="Calibri"/>
          <w:b/>
          <w:i/>
          <w:sz w:val="18"/>
          <w:szCs w:val="18"/>
        </w:rPr>
        <w:t xml:space="preserve">[In caso di lotto unico] </w:t>
      </w:r>
      <w:r w:rsidRPr="003D1CFD">
        <w:rPr>
          <w:rFonts w:ascii="Titillium" w:hAnsi="Titillium" w:cs="Calibri"/>
          <w:sz w:val="18"/>
          <w:szCs w:val="18"/>
        </w:rPr>
        <w:t>I concorrenti effettuano</w:t>
      </w:r>
      <w:r w:rsidRPr="00D2751A">
        <w:rPr>
          <w:rFonts w:ascii="Titillium" w:hAnsi="Titillium" w:cs="Calibri"/>
          <w:sz w:val="18"/>
          <w:szCs w:val="18"/>
        </w:rPr>
        <w:t>, a pena di esclusione</w:t>
      </w:r>
      <w:r w:rsidR="003D1CFD" w:rsidRPr="00D2751A">
        <w:rPr>
          <w:rFonts w:ascii="Titillium" w:hAnsi="Titillium" w:cs="Calibri"/>
          <w:sz w:val="18"/>
          <w:szCs w:val="18"/>
        </w:rPr>
        <w:t>,</w:t>
      </w:r>
      <w:r w:rsidRPr="00D2751A">
        <w:rPr>
          <w:rFonts w:ascii="Titillium" w:hAnsi="Titillium" w:cs="Calibri"/>
          <w:sz w:val="18"/>
          <w:szCs w:val="18"/>
        </w:rPr>
        <w:t xml:space="preserve"> il</w:t>
      </w:r>
      <w:r w:rsidRPr="003D1CFD">
        <w:rPr>
          <w:rFonts w:ascii="Titillium" w:hAnsi="Titillium" w:cs="Calibri"/>
          <w:sz w:val="18"/>
          <w:szCs w:val="18"/>
        </w:rPr>
        <w:t xml:space="preserve"> pagamento del contributo previsto dalla legge in favore dell’Autorità Nazionale Anticorruzione per un importo pari a € … </w:t>
      </w:r>
      <w:r w:rsidRPr="003D1CFD">
        <w:rPr>
          <w:rFonts w:ascii="Titillium" w:hAnsi="Titillium" w:cs="Calibri"/>
          <w:i/>
          <w:iCs/>
          <w:sz w:val="18"/>
          <w:szCs w:val="18"/>
        </w:rPr>
        <w:t>[inserire]</w:t>
      </w:r>
      <w:r w:rsidRPr="003D1CFD">
        <w:rPr>
          <w:rFonts w:ascii="Titillium" w:hAnsi="Titillium" w:cs="Calibri"/>
          <w:sz w:val="18"/>
          <w:szCs w:val="18"/>
        </w:rPr>
        <w:t xml:space="preserve"> secondo le modalità di cui alla delibera ANAC n. … del … </w:t>
      </w:r>
      <w:r w:rsidRPr="003D1CFD">
        <w:rPr>
          <w:rFonts w:ascii="Titillium" w:hAnsi="Titillium" w:cs="Calibri"/>
          <w:i/>
          <w:sz w:val="18"/>
          <w:szCs w:val="18"/>
        </w:rPr>
        <w:t xml:space="preserve">[per esempio Delibera numero 1121 del 29 dicembre 2020 Attuazione dell’articolo 1, commi 65 e 67, della legge 23 dicembre 2005, n. 266, per l’anno 2021 </w:t>
      </w:r>
      <w:r w:rsidRPr="003D1CFD">
        <w:rPr>
          <w:rFonts w:ascii="Titillium" w:hAnsi="Titillium"/>
          <w:i/>
          <w:sz w:val="18"/>
          <w:szCs w:val="18"/>
        </w:rPr>
        <w:t xml:space="preserve"> </w:t>
      </w:r>
      <w:r w:rsidR="007C2E4A" w:rsidRPr="003D1CFD">
        <w:rPr>
          <w:rFonts w:ascii="Titillium" w:hAnsi="Titillium"/>
          <w:i/>
          <w:sz w:val="18"/>
          <w:szCs w:val="18"/>
        </w:rPr>
        <w:t xml:space="preserve">pubblicata al seguente link </w:t>
      </w:r>
      <w:hyperlink r:id="rId14" w:history="1">
        <w:r w:rsidR="008062A2" w:rsidRPr="00642933">
          <w:rPr>
            <w:rStyle w:val="Collegamentoipertestuale"/>
            <w:rFonts w:ascii="Titillium" w:hAnsi="Titillium"/>
            <w:i/>
            <w:sz w:val="18"/>
            <w:szCs w:val="18"/>
          </w:rPr>
          <w:t>https://www.anticorruzione.it/-/delibera-numero-1121-del-29-dicembre-2020</w:t>
        </w:r>
      </w:hyperlink>
      <w:r w:rsidR="008062A2">
        <w:rPr>
          <w:rFonts w:ascii="Titillium" w:hAnsi="Titillium"/>
          <w:i/>
          <w:sz w:val="18"/>
          <w:szCs w:val="18"/>
        </w:rPr>
        <w:t xml:space="preserve"> </w:t>
      </w:r>
      <w:r w:rsidR="007C2E4A" w:rsidRPr="003D1CFD">
        <w:rPr>
          <w:rFonts w:ascii="Titillium" w:hAnsi="Titillium"/>
          <w:i/>
          <w:sz w:val="18"/>
          <w:szCs w:val="18"/>
        </w:rPr>
        <w:t>o successiva delibera]</w:t>
      </w:r>
      <w:r w:rsidRPr="003D1CFD">
        <w:rPr>
          <w:rFonts w:ascii="Titillium" w:hAnsi="Titillium" w:cs="Arial"/>
          <w:sz w:val="18"/>
          <w:szCs w:val="18"/>
        </w:rPr>
        <w:t>.</w:t>
      </w:r>
    </w:p>
    <w:p w14:paraId="44ED48AD" w14:textId="4C8D85BB" w:rsidR="004C53A8" w:rsidRDefault="00870286">
      <w:pPr>
        <w:spacing w:before="60" w:after="60"/>
      </w:pPr>
      <w:r>
        <w:rPr>
          <w:rFonts w:ascii="Titillium" w:hAnsi="Titillium" w:cs="Calibri"/>
          <w:b/>
          <w:i/>
          <w:sz w:val="18"/>
          <w:szCs w:val="18"/>
        </w:rPr>
        <w:t>[In caso di suddivisione in lotti]</w:t>
      </w:r>
      <w:r>
        <w:rPr>
          <w:rFonts w:ascii="Titillium" w:hAnsi="Titillium" w:cs="Calibri"/>
          <w:sz w:val="18"/>
          <w:szCs w:val="18"/>
        </w:rPr>
        <w:t xml:space="preserve"> I concorrenti </w:t>
      </w:r>
      <w:r w:rsidRPr="00D2751A">
        <w:rPr>
          <w:rFonts w:ascii="Titillium" w:hAnsi="Titillium" w:cs="Calibri"/>
          <w:sz w:val="18"/>
          <w:szCs w:val="18"/>
        </w:rPr>
        <w:t>effettuano, a pena di esclusione,</w:t>
      </w:r>
      <w:r>
        <w:rPr>
          <w:rFonts w:ascii="Titillium" w:hAnsi="Titillium" w:cs="Calibri"/>
          <w:sz w:val="18"/>
          <w:szCs w:val="18"/>
        </w:rPr>
        <w:t xml:space="preserve"> </w:t>
      </w:r>
      <w:r w:rsidR="003D7007">
        <w:rPr>
          <w:rFonts w:ascii="Titillium" w:hAnsi="Titillium" w:cs="Calibri"/>
          <w:sz w:val="18"/>
          <w:szCs w:val="18"/>
        </w:rPr>
        <w:t xml:space="preserve">il </w:t>
      </w:r>
      <w:r>
        <w:rPr>
          <w:rFonts w:ascii="Titillium" w:hAnsi="Titillium" w:cs="Calibri"/>
          <w:sz w:val="18"/>
          <w:szCs w:val="18"/>
        </w:rPr>
        <w:t>pagamento del contributo previsto dalla legge in favore dell’Autorità Nazionale Ant</w:t>
      </w:r>
      <w:r w:rsidR="003D7007">
        <w:rPr>
          <w:rFonts w:ascii="Titillium" w:hAnsi="Titillium" w:cs="Calibri"/>
          <w:sz w:val="18"/>
          <w:szCs w:val="18"/>
        </w:rPr>
        <w:t>icorruzione per un importo pari</w:t>
      </w:r>
      <w:r>
        <w:rPr>
          <w:rFonts w:ascii="Titillium" w:hAnsi="Titillium" w:cs="Calibri"/>
          <w:sz w:val="18"/>
          <w:szCs w:val="18"/>
        </w:rPr>
        <w:t xml:space="preserve"> a € …</w:t>
      </w:r>
      <w:r>
        <w:rPr>
          <w:rFonts w:ascii="Titillium" w:hAnsi="Titillium" w:cs="Calibri"/>
          <w:i/>
          <w:iCs/>
          <w:sz w:val="18"/>
          <w:szCs w:val="18"/>
        </w:rPr>
        <w:t xml:space="preserve">[inserire] </w:t>
      </w:r>
      <w:r>
        <w:rPr>
          <w:rFonts w:ascii="Titillium" w:hAnsi="Titillium" w:cs="Calibri"/>
          <w:sz w:val="18"/>
          <w:szCs w:val="18"/>
        </w:rPr>
        <w:t xml:space="preserve">secondo le modalità di cui alla delibera ANAC n. … del … </w:t>
      </w:r>
      <w:r>
        <w:rPr>
          <w:rFonts w:ascii="Titillium" w:hAnsi="Titillium" w:cs="Calibri"/>
          <w:i/>
          <w:sz w:val="18"/>
          <w:szCs w:val="18"/>
        </w:rPr>
        <w:t xml:space="preserve">[per esempio Delibera numero 1121 del 29 dicembre 2020 Attuazione dell’articolo 1, commi 65 e 67, della legge 23 dicembre 2005, n. 266, per l’anno 2021  </w:t>
      </w:r>
      <w:r w:rsidR="007C2E4A">
        <w:rPr>
          <w:rFonts w:ascii="Titillium" w:hAnsi="Titillium" w:cs="Calibri"/>
          <w:i/>
          <w:sz w:val="18"/>
          <w:szCs w:val="18"/>
        </w:rPr>
        <w:t xml:space="preserve">pubblicata </w:t>
      </w:r>
      <w:r w:rsidR="007C2E4A">
        <w:rPr>
          <w:rFonts w:ascii="Titillium" w:hAnsi="Titillium" w:cs="Calibri"/>
          <w:sz w:val="18"/>
          <w:szCs w:val="18"/>
        </w:rPr>
        <w:t>al seguente link</w:t>
      </w:r>
      <w:r w:rsidR="007C2E4A" w:rsidRPr="007C2E4A">
        <w:t xml:space="preserve"> </w:t>
      </w:r>
      <w:hyperlink r:id="rId15" w:history="1">
        <w:r w:rsidR="008062A2" w:rsidRPr="00642933">
          <w:rPr>
            <w:rStyle w:val="Collegamentoipertestuale"/>
            <w:rFonts w:ascii="Titillium" w:hAnsi="Titillium" w:cs="Calibri"/>
            <w:sz w:val="18"/>
            <w:szCs w:val="18"/>
          </w:rPr>
          <w:t>https://www.anticorruzione.it/-/delibera-numero-1121-del-29-dicembre-2020</w:t>
        </w:r>
      </w:hyperlink>
      <w:r w:rsidR="008062A2">
        <w:rPr>
          <w:rFonts w:ascii="Titillium" w:hAnsi="Titillium" w:cs="Calibri"/>
          <w:sz w:val="18"/>
          <w:szCs w:val="18"/>
        </w:rPr>
        <w:t xml:space="preserve"> </w:t>
      </w:r>
      <w:r>
        <w:rPr>
          <w:rFonts w:ascii="Titillium" w:hAnsi="Titillium" w:cs="Calibri"/>
          <w:i/>
          <w:sz w:val="18"/>
          <w:szCs w:val="18"/>
        </w:rPr>
        <w:t>o successiva delibera</w:t>
      </w:r>
      <w:r w:rsidR="007C2E4A">
        <w:rPr>
          <w:rFonts w:ascii="Titillium" w:hAnsi="Titillium" w:cs="Calibri"/>
          <w:i/>
          <w:sz w:val="18"/>
          <w:szCs w:val="18"/>
        </w:rPr>
        <w:t>]</w:t>
      </w:r>
      <w:r>
        <w:rPr>
          <w:rFonts w:ascii="Titillium" w:hAnsi="Titillium" w:cs="Arial"/>
          <w:sz w:val="18"/>
          <w:szCs w:val="18"/>
        </w:rPr>
        <w:t xml:space="preserve">. </w:t>
      </w:r>
      <w:r>
        <w:rPr>
          <w:rFonts w:ascii="Titillium" w:hAnsi="Titillium" w:cs="Calibri"/>
          <w:sz w:val="18"/>
          <w:szCs w:val="18"/>
        </w:rPr>
        <w:t>Il contributo è dovuto per ciascun lotto per il quale si presenta offerta secondo gli importi descritti nella sottostante tabella:</w:t>
      </w:r>
    </w:p>
    <w:tbl>
      <w:tblPr>
        <w:tblW w:w="9210" w:type="dxa"/>
        <w:tblInd w:w="-108" w:type="dxa"/>
        <w:tblLook w:val="04A0" w:firstRow="1" w:lastRow="0" w:firstColumn="1" w:lastColumn="0" w:noHBand="0" w:noVBand="1"/>
      </w:tblPr>
      <w:tblGrid>
        <w:gridCol w:w="3070"/>
        <w:gridCol w:w="3070"/>
        <w:gridCol w:w="3070"/>
      </w:tblGrid>
      <w:tr w:rsidR="004C53A8" w14:paraId="044AE6AA" w14:textId="77777777">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9EF49"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Numero lotto</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DA693"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CIG</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5C342F"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Importo contributo ANAC</w:t>
            </w:r>
          </w:p>
        </w:tc>
      </w:tr>
      <w:tr w:rsidR="004C53A8" w14:paraId="01E6793B" w14:textId="77777777">
        <w:tc>
          <w:tcPr>
            <w:tcW w:w="3070" w:type="dxa"/>
            <w:tcBorders>
              <w:top w:val="single" w:sz="4" w:space="0" w:color="000000"/>
              <w:left w:val="single" w:sz="4" w:space="0" w:color="000000"/>
              <w:bottom w:val="single" w:sz="4" w:space="0" w:color="000000"/>
              <w:right w:val="single" w:sz="4" w:space="0" w:color="000000"/>
            </w:tcBorders>
          </w:tcPr>
          <w:p w14:paraId="487FB756"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66A94531"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06D058AC" w14:textId="77777777" w:rsidR="004C53A8" w:rsidRDefault="004C53A8">
            <w:pPr>
              <w:spacing w:before="60" w:after="60"/>
              <w:rPr>
                <w:rFonts w:ascii="Titillium" w:hAnsi="Titillium" w:cs="Calibri"/>
                <w:sz w:val="18"/>
                <w:szCs w:val="18"/>
              </w:rPr>
            </w:pPr>
          </w:p>
        </w:tc>
      </w:tr>
      <w:tr w:rsidR="004C53A8" w14:paraId="357537A3" w14:textId="77777777">
        <w:tc>
          <w:tcPr>
            <w:tcW w:w="3070" w:type="dxa"/>
            <w:tcBorders>
              <w:top w:val="single" w:sz="4" w:space="0" w:color="000000"/>
              <w:left w:val="single" w:sz="4" w:space="0" w:color="000000"/>
              <w:bottom w:val="single" w:sz="4" w:space="0" w:color="000000"/>
              <w:right w:val="single" w:sz="4" w:space="0" w:color="000000"/>
            </w:tcBorders>
          </w:tcPr>
          <w:p w14:paraId="01C58F80"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31EC46C"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E622013" w14:textId="77777777" w:rsidR="004C53A8" w:rsidRDefault="004C53A8">
            <w:pPr>
              <w:spacing w:before="60" w:after="60"/>
              <w:rPr>
                <w:rFonts w:ascii="Titillium" w:hAnsi="Titillium" w:cs="Calibri"/>
                <w:sz w:val="18"/>
                <w:szCs w:val="18"/>
              </w:rPr>
            </w:pPr>
          </w:p>
        </w:tc>
      </w:tr>
    </w:tbl>
    <w:p w14:paraId="6CE43B75"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4191A3C6" w14:textId="77777777">
        <w:tc>
          <w:tcPr>
            <w:tcW w:w="9210" w:type="dxa"/>
            <w:tcBorders>
              <w:top w:val="single" w:sz="4" w:space="0" w:color="000000"/>
              <w:left w:val="single" w:sz="4" w:space="0" w:color="000000"/>
              <w:bottom w:val="single" w:sz="4" w:space="0" w:color="000000"/>
              <w:right w:val="single" w:sz="4" w:space="0" w:color="000000"/>
            </w:tcBorders>
          </w:tcPr>
          <w:p w14:paraId="1297EC78" w14:textId="77777777" w:rsidR="004C53A8" w:rsidRDefault="00870286" w:rsidP="00751755">
            <w:pPr>
              <w:spacing w:before="60" w:after="60"/>
              <w:rPr>
                <w:rFonts w:ascii="Titillium" w:hAnsi="Titillium"/>
                <w:i/>
                <w:sz w:val="18"/>
                <w:szCs w:val="18"/>
              </w:rPr>
            </w:pPr>
            <w:r w:rsidRPr="00472411">
              <w:rPr>
                <w:rFonts w:ascii="Titillium" w:hAnsi="Titillium" w:cs="Calibri"/>
                <w:i/>
                <w:sz w:val="18"/>
                <w:szCs w:val="18"/>
              </w:rPr>
              <w:t>N.B. Indicazioni operative sulle modalità di pagamento del contributo sono disponibili sul sito dell’Autorità Nazionale Anticorruzione al seguente link:</w:t>
            </w:r>
            <w:r w:rsidR="00751755" w:rsidRPr="00472411">
              <w:rPr>
                <w:rFonts w:ascii="Titillium" w:hAnsi="Titillium" w:cs="Calibri"/>
                <w:i/>
                <w:sz w:val="18"/>
                <w:szCs w:val="18"/>
              </w:rPr>
              <w:t xml:space="preserve"> </w:t>
            </w:r>
            <w:hyperlink r:id="rId16" w:history="1">
              <w:r w:rsidR="00780944" w:rsidRPr="00472411">
                <w:rPr>
                  <w:rStyle w:val="Collegamentoipertestuale"/>
                  <w:rFonts w:ascii="Titillium" w:hAnsi="Titillium"/>
                  <w:i/>
                  <w:sz w:val="18"/>
                  <w:szCs w:val="18"/>
                </w:rPr>
                <w:t>https://www.anticorruzione.it/-/portale-dei-pagamenti-di-anac</w:t>
              </w:r>
            </w:hyperlink>
            <w:r w:rsidR="00780944" w:rsidRPr="00472411">
              <w:rPr>
                <w:rFonts w:ascii="Titillium" w:hAnsi="Titillium"/>
                <w:i/>
                <w:sz w:val="18"/>
                <w:szCs w:val="18"/>
              </w:rPr>
              <w:t xml:space="preserve"> </w:t>
            </w:r>
          </w:p>
          <w:p w14:paraId="000E59A4" w14:textId="2D0B31D2" w:rsidR="0018777F" w:rsidRPr="00472411" w:rsidRDefault="0018777F" w:rsidP="009A2063">
            <w:pPr>
              <w:spacing w:before="60" w:after="60"/>
              <w:rPr>
                <w:rFonts w:ascii="Titillium" w:hAnsi="Titillium" w:cs="Calibri"/>
                <w:i/>
                <w:sz w:val="18"/>
                <w:szCs w:val="18"/>
              </w:rPr>
            </w:pPr>
            <w:r>
              <w:rPr>
                <w:rFonts w:ascii="Titillium" w:hAnsi="Titillium" w:cs="Calibri"/>
                <w:i/>
                <w:sz w:val="18"/>
                <w:szCs w:val="18"/>
              </w:rPr>
              <w:t>L</w:t>
            </w:r>
            <w:r w:rsidRPr="0018777F">
              <w:rPr>
                <w:rFonts w:ascii="Titillium" w:hAnsi="Titillium" w:cs="Calibri"/>
                <w:i/>
                <w:sz w:val="18"/>
                <w:szCs w:val="18"/>
              </w:rPr>
              <w:t xml:space="preserve">'importo del contributo è calcolato sul valore stimato d'appalto comprensivo delle </w:t>
            </w:r>
            <w:r w:rsidR="009A2063">
              <w:rPr>
                <w:rFonts w:ascii="Titillium" w:hAnsi="Titillium" w:cs="Calibri"/>
                <w:i/>
                <w:sz w:val="18"/>
                <w:szCs w:val="18"/>
              </w:rPr>
              <w:t xml:space="preserve">eventuali </w:t>
            </w:r>
            <w:r w:rsidRPr="0018777F">
              <w:rPr>
                <w:rFonts w:ascii="Titillium" w:hAnsi="Titillium" w:cs="Calibri"/>
                <w:i/>
                <w:sz w:val="18"/>
                <w:szCs w:val="18"/>
              </w:rPr>
              <w:t>opzioni contrattuali</w:t>
            </w:r>
            <w:r w:rsidR="009A2063">
              <w:rPr>
                <w:rFonts w:ascii="Titillium" w:hAnsi="Titillium" w:cs="Calibri"/>
                <w:i/>
                <w:sz w:val="18"/>
                <w:szCs w:val="18"/>
              </w:rPr>
              <w:t xml:space="preserve"> previste nella documentazione di gara</w:t>
            </w:r>
            <w:r w:rsidR="00803687">
              <w:rPr>
                <w:rFonts w:ascii="Titillium" w:hAnsi="Titillium" w:cs="Calibri"/>
                <w:i/>
                <w:sz w:val="18"/>
                <w:szCs w:val="18"/>
              </w:rPr>
              <w:t>.</w:t>
            </w:r>
          </w:p>
        </w:tc>
      </w:tr>
    </w:tbl>
    <w:p w14:paraId="0B44A971" w14:textId="77777777" w:rsidR="004C53A8" w:rsidRDefault="004C53A8">
      <w:pPr>
        <w:spacing w:before="60" w:after="60"/>
        <w:ind w:left="425"/>
        <w:rPr>
          <w:rFonts w:ascii="Titillium" w:hAnsi="Titillium" w:cs="Calibri"/>
          <w:szCs w:val="24"/>
        </w:rPr>
      </w:pPr>
    </w:p>
    <w:p w14:paraId="6425123D" w14:textId="1178D62E" w:rsidR="004C53A8" w:rsidRDefault="00870286">
      <w:pPr>
        <w:spacing w:before="60" w:after="60"/>
      </w:pPr>
      <w:r>
        <w:rPr>
          <w:rFonts w:ascii="Titillium" w:hAnsi="Titillium" w:cs="Calibri"/>
          <w:b/>
          <w:i/>
          <w:sz w:val="18"/>
          <w:szCs w:val="18"/>
        </w:rPr>
        <w:t>[nel caso in cui si preveda il ricorso ad AVC</w:t>
      </w:r>
      <w:r w:rsidR="008062A2">
        <w:rPr>
          <w:rFonts w:ascii="Titillium" w:hAnsi="Titillium" w:cs="Calibri"/>
          <w:b/>
          <w:i/>
          <w:sz w:val="18"/>
          <w:szCs w:val="18"/>
        </w:rPr>
        <w:t>p</w:t>
      </w:r>
      <w:r>
        <w:rPr>
          <w:rFonts w:ascii="Titillium" w:hAnsi="Titillium" w:cs="Calibri"/>
          <w:b/>
          <w:i/>
          <w:sz w:val="18"/>
          <w:szCs w:val="18"/>
        </w:rPr>
        <w:t>ass]</w:t>
      </w:r>
    </w:p>
    <w:p w14:paraId="7D39A538" w14:textId="4B3451A1" w:rsidR="004C53A8" w:rsidRDefault="00780944">
      <w:pPr>
        <w:spacing w:before="60" w:after="60"/>
      </w:pPr>
      <w:r w:rsidRPr="008062A2">
        <w:rPr>
          <w:rFonts w:ascii="Titillium" w:hAnsi="Titillium" w:cs="Calibri"/>
          <w:sz w:val="18"/>
          <w:szCs w:val="18"/>
        </w:rPr>
        <w:t>L</w:t>
      </w:r>
      <w:r w:rsidR="00870286" w:rsidRPr="008062A2">
        <w:rPr>
          <w:rFonts w:ascii="Titillium" w:hAnsi="Titillium" w:cs="Calibri"/>
          <w:sz w:val="18"/>
          <w:szCs w:val="18"/>
        </w:rPr>
        <w:t xml:space="preserve">a stazione appaltante accerta il pagamento </w:t>
      </w:r>
      <w:r w:rsidR="008062A2">
        <w:rPr>
          <w:rFonts w:ascii="Titillium" w:hAnsi="Titillium" w:cs="Calibri"/>
          <w:sz w:val="18"/>
          <w:szCs w:val="18"/>
        </w:rPr>
        <w:t xml:space="preserve">del contributo </w:t>
      </w:r>
      <w:r w:rsidR="00870286" w:rsidRPr="008062A2">
        <w:rPr>
          <w:rFonts w:ascii="Titillium" w:hAnsi="Titillium" w:cs="Calibri"/>
          <w:sz w:val="18"/>
          <w:szCs w:val="18"/>
        </w:rPr>
        <w:t>mediante consultazione del sistema AVC</w:t>
      </w:r>
      <w:r w:rsidR="008062A2">
        <w:rPr>
          <w:rFonts w:ascii="Titillium" w:hAnsi="Titillium" w:cs="Calibri"/>
          <w:sz w:val="18"/>
          <w:szCs w:val="18"/>
        </w:rPr>
        <w:t>p</w:t>
      </w:r>
      <w:r w:rsidR="00870286" w:rsidRPr="008062A2">
        <w:rPr>
          <w:rFonts w:ascii="Titillium" w:hAnsi="Titillium" w:cs="Calibri"/>
          <w:sz w:val="18"/>
          <w:szCs w:val="18"/>
        </w:rPr>
        <w:t>ass.</w:t>
      </w:r>
      <w:r w:rsidR="00870286">
        <w:rPr>
          <w:rFonts w:ascii="Titillium" w:hAnsi="Titillium" w:cs="Calibri"/>
          <w:sz w:val="18"/>
          <w:szCs w:val="18"/>
        </w:rPr>
        <w:t xml:space="preserve"> </w:t>
      </w:r>
    </w:p>
    <w:p w14:paraId="2784473D" w14:textId="5D1E3D87" w:rsidR="004C53A8" w:rsidRDefault="00870286">
      <w:pPr>
        <w:spacing w:before="60" w:after="60"/>
        <w:rPr>
          <w:rFonts w:ascii="Titillium" w:hAnsi="Titillium" w:cs="Calibri"/>
          <w:sz w:val="18"/>
          <w:szCs w:val="18"/>
        </w:rPr>
      </w:pPr>
      <w:r>
        <w:rPr>
          <w:rFonts w:ascii="Titillium" w:hAnsi="Titillium" w:cs="Calibri"/>
          <w:sz w:val="18"/>
          <w:szCs w:val="18"/>
        </w:rPr>
        <w:t>Qualora il pagamento non risulti registrato nel sistema AVC</w:t>
      </w:r>
      <w:r w:rsidR="008062A2">
        <w:rPr>
          <w:rFonts w:ascii="Titillium" w:hAnsi="Titillium" w:cs="Calibri"/>
          <w:sz w:val="18"/>
          <w:szCs w:val="18"/>
        </w:rPr>
        <w:t>p</w:t>
      </w:r>
      <w:r>
        <w:rPr>
          <w:rFonts w:ascii="Titillium" w:hAnsi="Titillium" w:cs="Calibri"/>
          <w:sz w:val="18"/>
          <w:szCs w:val="18"/>
        </w:rPr>
        <w:t xml:space="preserve">ass, </w:t>
      </w:r>
      <w:r w:rsidR="008062A2">
        <w:rPr>
          <w:rFonts w:ascii="Titillium" w:hAnsi="Titillium" w:cs="Calibri"/>
          <w:sz w:val="18"/>
          <w:szCs w:val="18"/>
        </w:rPr>
        <w:t xml:space="preserve">la stazione appaltante richiede, ai sensi dell’articolo 83, comma 9 del Codice, </w:t>
      </w:r>
      <w:r>
        <w:rPr>
          <w:rFonts w:ascii="Titillium" w:hAnsi="Titillium" w:cs="Calibri"/>
          <w:sz w:val="18"/>
          <w:szCs w:val="18"/>
        </w:rPr>
        <w:t xml:space="preserve">la presentazione della ricevuta di avvenuto pagamento. </w:t>
      </w:r>
    </w:p>
    <w:p w14:paraId="18ADA63C" w14:textId="77777777" w:rsidR="004C53A8" w:rsidRDefault="004C53A8">
      <w:pPr>
        <w:spacing w:before="60" w:after="60"/>
        <w:ind w:left="360"/>
        <w:rPr>
          <w:rFonts w:ascii="Titillium" w:hAnsi="Titillium" w:cs="Calibri"/>
          <w:b/>
          <w:i/>
          <w:sz w:val="18"/>
          <w:szCs w:val="18"/>
        </w:rPr>
      </w:pPr>
    </w:p>
    <w:p w14:paraId="58CF12AE" w14:textId="3C0F2F4D" w:rsidR="004C53A8" w:rsidRDefault="00870286">
      <w:pPr>
        <w:spacing w:before="60" w:after="60"/>
        <w:rPr>
          <w:rFonts w:ascii="Titillium" w:hAnsi="Titillium" w:cs="Calibri"/>
          <w:b/>
          <w:i/>
          <w:sz w:val="18"/>
          <w:szCs w:val="18"/>
        </w:rPr>
      </w:pPr>
      <w:r>
        <w:rPr>
          <w:rFonts w:ascii="Titillium" w:hAnsi="Titillium" w:cs="Calibri"/>
          <w:b/>
          <w:i/>
          <w:sz w:val="18"/>
          <w:szCs w:val="18"/>
        </w:rPr>
        <w:t xml:space="preserve">[nel caso in cui non si preveda il ricorso ad </w:t>
      </w:r>
      <w:r w:rsidR="008062A2">
        <w:rPr>
          <w:rFonts w:ascii="Titillium" w:hAnsi="Titillium" w:cs="Calibri"/>
          <w:b/>
          <w:i/>
          <w:sz w:val="18"/>
          <w:szCs w:val="18"/>
        </w:rPr>
        <w:t>AVCpass</w:t>
      </w:r>
      <w:r>
        <w:rPr>
          <w:rFonts w:ascii="Titillium" w:hAnsi="Titillium" w:cs="Calibri"/>
          <w:b/>
          <w:i/>
          <w:sz w:val="18"/>
          <w:szCs w:val="18"/>
        </w:rPr>
        <w:t>]</w:t>
      </w:r>
    </w:p>
    <w:p w14:paraId="2591B812" w14:textId="01CD4910" w:rsidR="00941DC6" w:rsidRDefault="00870286">
      <w:pPr>
        <w:spacing w:before="60" w:after="60"/>
        <w:rPr>
          <w:rFonts w:ascii="Titillium" w:hAnsi="Titillium" w:cs="Calibri"/>
          <w:sz w:val="18"/>
          <w:szCs w:val="18"/>
        </w:rPr>
      </w:pPr>
      <w:r>
        <w:rPr>
          <w:rFonts w:ascii="Titillium" w:hAnsi="Titillium" w:cs="Calibri"/>
          <w:sz w:val="18"/>
          <w:szCs w:val="18"/>
        </w:rPr>
        <w:t xml:space="preserve">La mancata presentazione della ricevuta di avvenuto pagamento può essere sanata ai sensi dell’articolo 83, comma 9 del Codice, a condizione che il </w:t>
      </w:r>
      <w:r w:rsidRPr="00941DC6">
        <w:rPr>
          <w:rFonts w:ascii="Titillium" w:hAnsi="Titillium" w:cs="Calibri"/>
          <w:sz w:val="18"/>
          <w:szCs w:val="18"/>
        </w:rPr>
        <w:t xml:space="preserve">pagamento sia stato già effettuato prima della scadenza del termine di presentazione dell’offerta. </w:t>
      </w:r>
    </w:p>
    <w:p w14:paraId="4748CA84" w14:textId="56F58F92" w:rsidR="004C53A8" w:rsidRDefault="00870286">
      <w:pPr>
        <w:spacing w:before="60" w:after="60"/>
      </w:pPr>
      <w:r w:rsidRPr="00941DC6">
        <w:rPr>
          <w:rFonts w:ascii="Titillium" w:hAnsi="Titillium" w:cs="Calibri"/>
          <w:sz w:val="18"/>
          <w:szCs w:val="18"/>
        </w:rPr>
        <w:t>In caso di mancata dimostrazione dell’avvenuto pagamento prima della scadenza del termine di presentazione dell’offerta, la stazione appaltante esclude il</w:t>
      </w:r>
      <w:r>
        <w:rPr>
          <w:rFonts w:ascii="Titillium" w:hAnsi="Titillium" w:cs="Calibri"/>
          <w:sz w:val="18"/>
          <w:szCs w:val="18"/>
        </w:rPr>
        <w:t xml:space="preserve"> concorrente dalla procedura di gara [</w:t>
      </w:r>
      <w:r>
        <w:rPr>
          <w:rFonts w:ascii="Titillium" w:hAnsi="Titillium" w:cs="Calibri"/>
          <w:i/>
          <w:sz w:val="18"/>
          <w:szCs w:val="18"/>
        </w:rPr>
        <w:t>in caso di suddivisione in lotti distinti aggiungere</w:t>
      </w:r>
      <w:r>
        <w:rPr>
          <w:rFonts w:ascii="Titillium" w:hAnsi="Titillium" w:cs="Calibri"/>
          <w:sz w:val="18"/>
          <w:szCs w:val="18"/>
        </w:rPr>
        <w:t xml:space="preserve">: </w:t>
      </w:r>
      <w:r>
        <w:rPr>
          <w:rFonts w:ascii="Titillium" w:hAnsi="Titillium" w:cs="Calibri"/>
          <w:i/>
          <w:sz w:val="18"/>
          <w:szCs w:val="18"/>
        </w:rPr>
        <w:t>in relazione “</w:t>
      </w:r>
      <w:r>
        <w:rPr>
          <w:rFonts w:ascii="Titillium" w:hAnsi="Titillium" w:cs="Calibri"/>
          <w:sz w:val="18"/>
          <w:szCs w:val="18"/>
        </w:rPr>
        <w:t>al lotto per il quale non è stato versato il contributo”], ai sensi dell’articolo 1, comma 67 della legge 266/05.</w:t>
      </w:r>
    </w:p>
    <w:p w14:paraId="4E8E0C7C" w14:textId="77777777" w:rsidR="004C53A8" w:rsidRDefault="004C53A8">
      <w:pPr>
        <w:pStyle w:val="Paragrafoelenco"/>
        <w:spacing w:before="60" w:after="60"/>
        <w:rPr>
          <w:rFonts w:ascii="Titillium" w:hAnsi="Titillium" w:cs="Calibri"/>
          <w:b/>
          <w:i/>
          <w:sz w:val="18"/>
          <w:szCs w:val="18"/>
        </w:rPr>
      </w:pPr>
    </w:p>
    <w:p w14:paraId="3A81C56B" w14:textId="77777777" w:rsidR="004C53A8" w:rsidRDefault="00870286">
      <w:pPr>
        <w:pStyle w:val="Paragrafoelenco"/>
        <w:spacing w:before="60" w:after="60"/>
        <w:ind w:left="0"/>
      </w:pPr>
      <w:r>
        <w:rPr>
          <w:rFonts w:ascii="Titillium" w:hAnsi="Titillium" w:cs="Calibri"/>
          <w:b/>
          <w:i/>
          <w:sz w:val="18"/>
          <w:szCs w:val="18"/>
        </w:rPr>
        <w:t>[o, in alternativa, se il pagamento del contributo non è dovuto]</w:t>
      </w:r>
    </w:p>
    <w:p w14:paraId="1F7F6194" w14:textId="1CC0B5E3" w:rsidR="004C53A8" w:rsidRDefault="00870286">
      <w:pPr>
        <w:rPr>
          <w:rFonts w:ascii="Titillium" w:hAnsi="Titillium" w:cs="Calibri"/>
          <w:sz w:val="18"/>
          <w:szCs w:val="18"/>
        </w:rPr>
      </w:pPr>
      <w:r>
        <w:rPr>
          <w:rFonts w:ascii="Titillium" w:hAnsi="Titillium" w:cs="Calibri"/>
          <w:sz w:val="18"/>
          <w:szCs w:val="18"/>
        </w:rPr>
        <w:t xml:space="preserve">Ai sensi dell’articolo 1, punto 2, della delibera ANAC n. </w:t>
      </w:r>
      <w:r w:rsidR="006B1E07">
        <w:rPr>
          <w:rFonts w:ascii="Titillium" w:hAnsi="Titillium" w:cs="Calibri"/>
          <w:sz w:val="18"/>
          <w:szCs w:val="18"/>
        </w:rPr>
        <w:t xml:space="preserve"> … del … </w:t>
      </w:r>
      <w:r w:rsidR="006B1E07" w:rsidRPr="00472411">
        <w:rPr>
          <w:rFonts w:ascii="Titillium" w:hAnsi="Titillium" w:cs="Calibri"/>
          <w:i/>
          <w:sz w:val="18"/>
          <w:szCs w:val="18"/>
        </w:rPr>
        <w:t>[</w:t>
      </w:r>
      <w:r w:rsidR="006B1E07" w:rsidRPr="006B1E07">
        <w:rPr>
          <w:rFonts w:ascii="Titillium" w:hAnsi="Titillium" w:cs="Calibri"/>
          <w:i/>
          <w:sz w:val="18"/>
          <w:szCs w:val="18"/>
        </w:rPr>
        <w:t xml:space="preserve">ad esempio Delibera n. </w:t>
      </w:r>
      <w:r w:rsidRPr="006B1E07">
        <w:rPr>
          <w:rFonts w:ascii="Titillium" w:hAnsi="Titillium" w:cs="Calibri"/>
          <w:i/>
          <w:sz w:val="18"/>
          <w:szCs w:val="18"/>
        </w:rPr>
        <w:t>11</w:t>
      </w:r>
      <w:r w:rsidR="008062A2" w:rsidRPr="006B1E07">
        <w:rPr>
          <w:rFonts w:ascii="Titillium" w:hAnsi="Titillium" w:cs="Calibri"/>
          <w:i/>
          <w:sz w:val="18"/>
          <w:szCs w:val="18"/>
        </w:rPr>
        <w:t>21</w:t>
      </w:r>
      <w:r w:rsidRPr="006B1E07">
        <w:rPr>
          <w:rFonts w:ascii="Titillium" w:hAnsi="Titillium" w:cs="Calibri"/>
          <w:i/>
          <w:sz w:val="18"/>
          <w:szCs w:val="18"/>
        </w:rPr>
        <w:t xml:space="preserve"> del </w:t>
      </w:r>
      <w:r w:rsidR="008062A2" w:rsidRPr="006B1E07">
        <w:rPr>
          <w:rFonts w:ascii="Titillium" w:hAnsi="Titillium" w:cs="Calibri"/>
          <w:i/>
          <w:sz w:val="18"/>
          <w:szCs w:val="18"/>
        </w:rPr>
        <w:t xml:space="preserve">29 dicembre 2020 </w:t>
      </w:r>
      <w:r w:rsidR="006B1E07" w:rsidRPr="006B1E07">
        <w:rPr>
          <w:rFonts w:ascii="Titillium" w:hAnsi="Titillium" w:cs="Calibri"/>
          <w:i/>
          <w:sz w:val="18"/>
          <w:szCs w:val="18"/>
        </w:rPr>
        <w:t>per</w:t>
      </w:r>
      <w:r w:rsidR="006B1E07" w:rsidRPr="003D1CFD">
        <w:rPr>
          <w:rFonts w:ascii="Titillium" w:hAnsi="Titillium" w:cs="Calibri"/>
          <w:i/>
          <w:sz w:val="18"/>
          <w:szCs w:val="18"/>
        </w:rPr>
        <w:t xml:space="preserve"> l’anno 2021 </w:t>
      </w:r>
      <w:r w:rsidR="006B1E07" w:rsidRPr="003D1CFD">
        <w:rPr>
          <w:rFonts w:ascii="Titillium" w:hAnsi="Titillium"/>
          <w:i/>
          <w:sz w:val="18"/>
          <w:szCs w:val="18"/>
        </w:rPr>
        <w:t xml:space="preserve"> pubblicata al seguente link </w:t>
      </w:r>
      <w:hyperlink r:id="rId17" w:history="1">
        <w:r w:rsidR="006B1E07" w:rsidRPr="00642933">
          <w:rPr>
            <w:rStyle w:val="Collegamentoipertestuale"/>
            <w:rFonts w:ascii="Titillium" w:hAnsi="Titillium"/>
            <w:i/>
            <w:sz w:val="18"/>
            <w:szCs w:val="18"/>
          </w:rPr>
          <w:t>https://www.anticorruzione.it/-/delibera-numero-1121-del-29-dicembre-2020</w:t>
        </w:r>
      </w:hyperlink>
      <w:r w:rsidR="006B1E07">
        <w:rPr>
          <w:rFonts w:ascii="Titillium" w:hAnsi="Titillium"/>
          <w:i/>
          <w:sz w:val="18"/>
          <w:szCs w:val="18"/>
        </w:rPr>
        <w:t xml:space="preserve"> </w:t>
      </w:r>
      <w:r w:rsidR="006B1E07" w:rsidRPr="003D1CFD">
        <w:rPr>
          <w:rFonts w:ascii="Titillium" w:hAnsi="Titillium"/>
          <w:i/>
          <w:sz w:val="18"/>
          <w:szCs w:val="18"/>
        </w:rPr>
        <w:t>o successiva delibera</w:t>
      </w:r>
      <w:r w:rsidR="008062A2" w:rsidRPr="00472411">
        <w:rPr>
          <w:rFonts w:ascii="Titillium" w:hAnsi="Titillium" w:cs="Calibri"/>
          <w:i/>
          <w:sz w:val="18"/>
          <w:szCs w:val="18"/>
        </w:rPr>
        <w:t>]</w:t>
      </w:r>
      <w:r w:rsidR="008062A2">
        <w:rPr>
          <w:rFonts w:ascii="Titillium" w:hAnsi="Titillium" w:cs="Calibri"/>
          <w:sz w:val="18"/>
          <w:szCs w:val="18"/>
        </w:rPr>
        <w:t xml:space="preserve"> </w:t>
      </w:r>
      <w:r>
        <w:rPr>
          <w:rFonts w:ascii="Titillium" w:hAnsi="Titillium" w:cs="Calibri"/>
          <w:sz w:val="18"/>
          <w:szCs w:val="18"/>
        </w:rPr>
        <w:t>i concorrenti sono esentati dal pagamento del contributo in favore dell’Autorità Nazionale Anticorruzione.</w:t>
      </w:r>
    </w:p>
    <w:p w14:paraId="74CF3E15" w14:textId="53395717" w:rsidR="004C53A8" w:rsidRDefault="00870286">
      <w:pPr>
        <w:pStyle w:val="Titolo2"/>
        <w:numPr>
          <w:ilvl w:val="0"/>
          <w:numId w:val="4"/>
        </w:numPr>
        <w:ind w:left="357" w:hanging="357"/>
      </w:pPr>
      <w:bookmarkStart w:id="1755" w:name="_Ref498595281"/>
      <w:bookmarkStart w:id="1756" w:name="_Toc95495898"/>
      <w:r>
        <w:rPr>
          <w:rFonts w:ascii="Titillium" w:hAnsi="Titillium"/>
          <w:sz w:val="18"/>
          <w:szCs w:val="18"/>
        </w:rPr>
        <w:t>MODALIT</w:t>
      </w:r>
      <w:r>
        <w:rPr>
          <w:rFonts w:ascii="Titillium" w:hAnsi="Titillium"/>
          <w:caps w:val="0"/>
          <w:sz w:val="18"/>
          <w:szCs w:val="18"/>
          <w:lang w:val="it-IT"/>
        </w:rPr>
        <w:t>À</w:t>
      </w:r>
      <w:r>
        <w:rPr>
          <w:rFonts w:ascii="Titillium" w:hAnsi="Titillium"/>
          <w:sz w:val="18"/>
          <w:szCs w:val="18"/>
        </w:rPr>
        <w:t xml:space="preserve"> DI </w:t>
      </w:r>
      <w:r>
        <w:rPr>
          <w:rFonts w:ascii="Titillium" w:hAnsi="Titillium"/>
          <w:caps w:val="0"/>
          <w:sz w:val="18"/>
          <w:szCs w:val="18"/>
        </w:rPr>
        <w:t>PRESENTAZIONE</w:t>
      </w:r>
      <w:r>
        <w:rPr>
          <w:rFonts w:ascii="Titillium" w:hAnsi="Titillium"/>
          <w:caps w:val="0"/>
          <w:sz w:val="18"/>
          <w:szCs w:val="18"/>
          <w:lang w:val="it-IT"/>
        </w:rPr>
        <w:t xml:space="preserve"> DELL’OFFERTA E SOTTOSCRIZIONE DEI DOCUMENTI DI GARA</w:t>
      </w:r>
      <w:bookmarkEnd w:id="1755"/>
      <w:bookmarkEnd w:id="1756"/>
      <w:r>
        <w:rPr>
          <w:rFonts w:ascii="Titillium" w:hAnsi="Titillium"/>
          <w:caps w:val="0"/>
          <w:sz w:val="18"/>
          <w:szCs w:val="18"/>
          <w:lang w:val="it-IT"/>
        </w:rPr>
        <w:t xml:space="preserve"> </w:t>
      </w:r>
    </w:p>
    <w:p w14:paraId="4D8DAB3B" w14:textId="299AAB9D" w:rsidR="004C53A8" w:rsidRPr="003D7007" w:rsidRDefault="00870286">
      <w:pPr>
        <w:tabs>
          <w:tab w:val="left" w:pos="360"/>
        </w:tabs>
        <w:spacing w:before="60" w:after="60"/>
        <w:rPr>
          <w:rFonts w:ascii="Titillium" w:hAnsi="Titillium"/>
          <w:sz w:val="18"/>
          <w:szCs w:val="18"/>
        </w:rPr>
      </w:pPr>
      <w:r w:rsidRPr="002A5164">
        <w:rPr>
          <w:rFonts w:ascii="Titillium" w:hAnsi="Titillium" w:cs="Calibri"/>
          <w:bCs/>
          <w:iCs/>
          <w:sz w:val="18"/>
          <w:szCs w:val="18"/>
        </w:rPr>
        <w:t xml:space="preserve">L’offerta e la documentazione relativa alla procedura devono essere </w:t>
      </w:r>
      <w:r w:rsidRPr="003D7007">
        <w:rPr>
          <w:rFonts w:ascii="Titillium" w:hAnsi="Titillium" w:cs="Calibri"/>
          <w:bCs/>
          <w:iCs/>
          <w:sz w:val="18"/>
          <w:szCs w:val="18"/>
        </w:rPr>
        <w:t xml:space="preserve">presentate </w:t>
      </w:r>
      <w:r w:rsidRPr="003D7007">
        <w:rPr>
          <w:rFonts w:ascii="Titillium" w:hAnsi="Titillium" w:cs="Calibri"/>
          <w:sz w:val="18"/>
          <w:szCs w:val="18"/>
        </w:rPr>
        <w:t>esclusivamente</w:t>
      </w:r>
      <w:r w:rsidR="003D7007">
        <w:rPr>
          <w:rFonts w:ascii="Titillium" w:hAnsi="Titillium" w:cs="Calibri"/>
          <w:sz w:val="18"/>
          <w:szCs w:val="18"/>
        </w:rPr>
        <w:t xml:space="preserve"> attraverso la Piattaforma</w:t>
      </w:r>
      <w:r w:rsidR="00F011D7">
        <w:rPr>
          <w:rFonts w:ascii="Titillium" w:hAnsi="Titillium" w:cs="Calibri"/>
          <w:sz w:val="18"/>
          <w:szCs w:val="18"/>
        </w:rPr>
        <w:t xml:space="preserve">. </w:t>
      </w:r>
      <w:r w:rsidR="00F011D7" w:rsidRPr="00F011D7">
        <w:rPr>
          <w:rFonts w:ascii="Titillium" w:hAnsi="Titillium" w:cs="Calibri"/>
          <w:sz w:val="18"/>
          <w:szCs w:val="18"/>
        </w:rPr>
        <w:t>Non sono considerate valide le offerte presentate attraverso modalità diverse da quelle previste nel presente disciplinare</w:t>
      </w:r>
      <w:r w:rsidR="003D7007">
        <w:rPr>
          <w:rFonts w:ascii="Titillium" w:hAnsi="Titillium" w:cs="Calibri"/>
          <w:sz w:val="18"/>
          <w:szCs w:val="18"/>
        </w:rPr>
        <w:t xml:space="preserve"> </w:t>
      </w:r>
      <w:r w:rsidR="00F011D7">
        <w:rPr>
          <w:rFonts w:ascii="Titillium" w:hAnsi="Titillium" w:cs="Calibri"/>
          <w:sz w:val="18"/>
          <w:szCs w:val="18"/>
        </w:rPr>
        <w:t xml:space="preserve">L’offerta </w:t>
      </w:r>
      <w:r w:rsidR="009B3AFC">
        <w:rPr>
          <w:rFonts w:ascii="Titillium" w:hAnsi="Titillium" w:cs="Calibri"/>
          <w:sz w:val="18"/>
          <w:szCs w:val="18"/>
        </w:rPr>
        <w:t>[</w:t>
      </w:r>
      <w:r w:rsidR="00F011D7">
        <w:rPr>
          <w:rFonts w:ascii="Titillium" w:hAnsi="Titillium" w:cs="Calibri"/>
          <w:sz w:val="18"/>
          <w:szCs w:val="18"/>
        </w:rPr>
        <w:t>ove richiesto</w:t>
      </w:r>
      <w:r w:rsidR="009B3AFC">
        <w:rPr>
          <w:rFonts w:ascii="Titillium" w:hAnsi="Titillium" w:cs="Calibri"/>
          <w:sz w:val="18"/>
          <w:szCs w:val="18"/>
        </w:rPr>
        <w:t xml:space="preserve"> aggiungere e</w:t>
      </w:r>
      <w:r w:rsidR="00F011D7">
        <w:rPr>
          <w:rFonts w:ascii="Titillium" w:hAnsi="Titillium" w:cs="Calibri"/>
          <w:sz w:val="18"/>
          <w:szCs w:val="18"/>
        </w:rPr>
        <w:t xml:space="preserve"> la documentazione</w:t>
      </w:r>
      <w:r w:rsidR="009B3AFC">
        <w:rPr>
          <w:rFonts w:ascii="Titillium" w:hAnsi="Titillium" w:cs="Calibri"/>
          <w:sz w:val="18"/>
          <w:szCs w:val="18"/>
        </w:rPr>
        <w:t>]</w:t>
      </w:r>
      <w:r w:rsidR="00F011D7">
        <w:rPr>
          <w:rFonts w:ascii="Titillium" w:hAnsi="Titillium" w:cs="Calibri"/>
          <w:sz w:val="18"/>
          <w:szCs w:val="18"/>
        </w:rPr>
        <w:t xml:space="preserve"> </w:t>
      </w:r>
      <w:r w:rsidR="00F011D7">
        <w:rPr>
          <w:rFonts w:ascii="Titillium" w:hAnsi="Titillium" w:cs="Calibri"/>
          <w:bCs/>
          <w:iCs/>
          <w:sz w:val="18"/>
          <w:szCs w:val="18"/>
        </w:rPr>
        <w:t>dev</w:t>
      </w:r>
      <w:r w:rsidR="009B3AFC">
        <w:rPr>
          <w:rFonts w:ascii="Titillium" w:hAnsi="Titillium" w:cs="Calibri"/>
          <w:bCs/>
          <w:iCs/>
          <w:sz w:val="18"/>
          <w:szCs w:val="18"/>
        </w:rPr>
        <w:t>e</w:t>
      </w:r>
      <w:r w:rsidR="00F011D7">
        <w:rPr>
          <w:rFonts w:ascii="Titillium" w:hAnsi="Titillium" w:cs="Calibri"/>
          <w:bCs/>
          <w:iCs/>
          <w:sz w:val="18"/>
          <w:szCs w:val="18"/>
        </w:rPr>
        <w:t xml:space="preserve"> </w:t>
      </w:r>
      <w:r w:rsidRPr="003D7007">
        <w:rPr>
          <w:rFonts w:ascii="Titillium" w:hAnsi="Titillium" w:cs="Calibri"/>
          <w:bCs/>
          <w:iCs/>
          <w:sz w:val="18"/>
          <w:szCs w:val="18"/>
        </w:rPr>
        <w:t>essere sottoscritt</w:t>
      </w:r>
      <w:r w:rsidR="009B3AFC">
        <w:rPr>
          <w:rFonts w:ascii="Titillium" w:hAnsi="Titillium" w:cs="Calibri"/>
          <w:bCs/>
          <w:iCs/>
          <w:sz w:val="18"/>
          <w:szCs w:val="18"/>
        </w:rPr>
        <w:t>a</w:t>
      </w:r>
      <w:r w:rsidRPr="003D7007">
        <w:rPr>
          <w:rFonts w:ascii="Titillium" w:hAnsi="Titillium" w:cs="Calibri"/>
          <w:bCs/>
          <w:iCs/>
          <w:sz w:val="18"/>
          <w:szCs w:val="18"/>
        </w:rPr>
        <w:t xml:space="preserve"> con firma digitale o altra firma elettronica qualificata o firma elettronica avanzata</w:t>
      </w:r>
      <w:r w:rsidR="00E277EE" w:rsidRPr="003D7007">
        <w:rPr>
          <w:rFonts w:ascii="Titillium" w:hAnsi="Titillium" w:cs="Calibri"/>
          <w:bCs/>
          <w:iCs/>
          <w:sz w:val="18"/>
          <w:szCs w:val="18"/>
        </w:rPr>
        <w:t>.</w:t>
      </w:r>
    </w:p>
    <w:p w14:paraId="65C85160" w14:textId="77777777" w:rsidR="00C40996" w:rsidRDefault="003B0F6C" w:rsidP="00972304">
      <w:pPr>
        <w:spacing w:before="60" w:after="60"/>
        <w:rPr>
          <w:rFonts w:ascii="Titillium" w:hAnsi="Titillium" w:cs="Calibri"/>
          <w:sz w:val="18"/>
          <w:szCs w:val="18"/>
        </w:rPr>
      </w:pPr>
      <w:r w:rsidRPr="003D7007">
        <w:rPr>
          <w:rFonts w:ascii="Titillium" w:hAnsi="Titillium" w:cs="Calibri"/>
          <w:sz w:val="18"/>
          <w:szCs w:val="18"/>
        </w:rPr>
        <w:t>L</w:t>
      </w:r>
      <w:r w:rsidR="00870286" w:rsidRPr="003D7007">
        <w:rPr>
          <w:rFonts w:ascii="Titillium" w:hAnsi="Titillium" w:cs="Calibri"/>
          <w:sz w:val="18"/>
          <w:szCs w:val="18"/>
        </w:rPr>
        <w:t xml:space="preserve">e dichiarazioni sostitutive si redigono ai sensi degli articoli </w:t>
      </w:r>
      <w:r w:rsidR="00F635E0">
        <w:rPr>
          <w:rFonts w:ascii="Titillium" w:hAnsi="Titillium" w:cs="Calibri"/>
          <w:sz w:val="18"/>
          <w:szCs w:val="18"/>
        </w:rPr>
        <w:t xml:space="preserve">19, </w:t>
      </w:r>
      <w:r w:rsidR="00870286" w:rsidRPr="003D7007">
        <w:rPr>
          <w:rFonts w:ascii="Titillium" w:hAnsi="Titillium" w:cs="Calibri"/>
          <w:sz w:val="18"/>
          <w:szCs w:val="18"/>
        </w:rPr>
        <w:t>46 e 47 del decreto del Presidente della Repubblica n.  445/</w:t>
      </w:r>
      <w:r w:rsidR="00FB3112" w:rsidRPr="003D7007">
        <w:rPr>
          <w:rFonts w:ascii="Titillium" w:hAnsi="Titillium" w:cs="Calibri"/>
          <w:sz w:val="18"/>
          <w:szCs w:val="18"/>
        </w:rPr>
        <w:t>20</w:t>
      </w:r>
      <w:r w:rsidR="00870286" w:rsidRPr="003D7007">
        <w:rPr>
          <w:rFonts w:ascii="Titillium" w:hAnsi="Titillium" w:cs="Calibri"/>
          <w:sz w:val="18"/>
          <w:szCs w:val="18"/>
        </w:rPr>
        <w:t>00.</w:t>
      </w:r>
      <w:r w:rsidR="00972304" w:rsidRPr="003D7007">
        <w:rPr>
          <w:rFonts w:ascii="Titillium" w:hAnsi="Titillium" w:cs="Calibri"/>
          <w:sz w:val="18"/>
          <w:szCs w:val="18"/>
        </w:rPr>
        <w:t xml:space="preserve"> </w:t>
      </w:r>
    </w:p>
    <w:p w14:paraId="4EEEDD29" w14:textId="139211FA" w:rsidR="004C53A8" w:rsidRPr="003D7007" w:rsidRDefault="00972304" w:rsidP="00972304">
      <w:pPr>
        <w:spacing w:before="60" w:after="60"/>
      </w:pPr>
      <w:r w:rsidRPr="003D7007">
        <w:rPr>
          <w:rFonts w:ascii="Titillium" w:hAnsi="Titillium" w:cs="Calibri"/>
          <w:sz w:val="18"/>
          <w:szCs w:val="18"/>
        </w:rPr>
        <w:t>La documentazione presentata in copia è accompagnata da dichiarazione di conformità all’originale ai sensi del decreto legislativo n.</w:t>
      </w:r>
      <w:r w:rsidR="003D7007">
        <w:rPr>
          <w:rFonts w:ascii="Titillium" w:hAnsi="Titillium" w:cs="Calibri"/>
          <w:sz w:val="18"/>
          <w:szCs w:val="18"/>
        </w:rPr>
        <w:t xml:space="preserve"> </w:t>
      </w:r>
      <w:r w:rsidRPr="003D7007">
        <w:rPr>
          <w:rFonts w:ascii="Titillium" w:hAnsi="Titillium" w:cs="Calibri"/>
          <w:sz w:val="18"/>
          <w:szCs w:val="18"/>
        </w:rPr>
        <w:t>82/05.</w:t>
      </w:r>
      <w:r w:rsidR="00870286" w:rsidRPr="003D7007">
        <w:rPr>
          <w:rFonts w:ascii="Titillium" w:hAnsi="Titillium" w:cs="Calibri"/>
          <w:sz w:val="18"/>
          <w:szCs w:val="18"/>
        </w:rPr>
        <w:t xml:space="preserve"> </w:t>
      </w:r>
    </w:p>
    <w:p w14:paraId="78A2E707" w14:textId="07F6AD85" w:rsidR="004C53A8" w:rsidRPr="003D7007" w:rsidRDefault="00870286">
      <w:pPr>
        <w:tabs>
          <w:tab w:val="left" w:pos="360"/>
        </w:tabs>
        <w:spacing w:before="60" w:after="60"/>
      </w:pPr>
      <w:r w:rsidRPr="006B0128">
        <w:rPr>
          <w:rFonts w:ascii="Titillium" w:hAnsi="Titillium" w:cs="Calibri"/>
          <w:b/>
          <w:i/>
          <w:sz w:val="18"/>
          <w:szCs w:val="18"/>
        </w:rPr>
        <w:t>[</w:t>
      </w:r>
      <w:r w:rsidRPr="006B0128">
        <w:rPr>
          <w:rFonts w:ascii="Titillium" w:hAnsi="Titillium" w:cs="Calibri"/>
          <w:b/>
          <w:bCs/>
          <w:i/>
          <w:sz w:val="18"/>
          <w:szCs w:val="18"/>
        </w:rPr>
        <w:t>Eventuale</w:t>
      </w:r>
      <w:r w:rsidRPr="006B0128">
        <w:rPr>
          <w:rFonts w:ascii="Titillium" w:hAnsi="Titillium" w:cs="Calibri"/>
          <w:b/>
          <w:i/>
          <w:sz w:val="18"/>
          <w:szCs w:val="18"/>
        </w:rPr>
        <w:t xml:space="preserve">] </w:t>
      </w:r>
      <w:r w:rsidRPr="006B0128">
        <w:rPr>
          <w:rFonts w:ascii="Titillium" w:hAnsi="Titillium" w:cs="Calibri"/>
          <w:sz w:val="18"/>
          <w:szCs w:val="18"/>
        </w:rPr>
        <w:t xml:space="preserve">I </w:t>
      </w:r>
      <w:r w:rsidRPr="003D7007">
        <w:rPr>
          <w:rFonts w:ascii="Titillium" w:hAnsi="Titillium" w:cs="Calibri"/>
          <w:sz w:val="18"/>
          <w:szCs w:val="18"/>
        </w:rPr>
        <w:t xml:space="preserve">campioni </w:t>
      </w:r>
      <w:r w:rsidR="0001616C" w:rsidRPr="003D7007">
        <w:rPr>
          <w:rFonts w:ascii="Titillium" w:hAnsi="Titillium" w:cs="Calibri"/>
          <w:i/>
          <w:sz w:val="18"/>
          <w:szCs w:val="18"/>
        </w:rPr>
        <w:t xml:space="preserve">[e </w:t>
      </w:r>
      <w:r w:rsidRPr="003D7007">
        <w:rPr>
          <w:rFonts w:ascii="Titillium" w:hAnsi="Titillium" w:cs="Calibri"/>
          <w:i/>
          <w:sz w:val="18"/>
          <w:szCs w:val="18"/>
        </w:rPr>
        <w:t>i documenti cartacei non altrimenti acquisibili</w:t>
      </w:r>
      <w:r w:rsidR="0001616C" w:rsidRPr="003D7007">
        <w:rPr>
          <w:rFonts w:ascii="Titillium" w:hAnsi="Titillium" w:cs="Calibri"/>
          <w:i/>
          <w:sz w:val="18"/>
          <w:szCs w:val="18"/>
        </w:rPr>
        <w:t>, specifica quali]</w:t>
      </w:r>
      <w:r w:rsidRPr="003D7007">
        <w:rPr>
          <w:rFonts w:ascii="Titillium" w:hAnsi="Titillium" w:cs="Calibri"/>
          <w:sz w:val="18"/>
          <w:szCs w:val="18"/>
        </w:rPr>
        <w:t xml:space="preserve"> devono essere trasmessi al seguente indirizzo: … </w:t>
      </w:r>
      <w:r w:rsidRPr="003D7007">
        <w:rPr>
          <w:rFonts w:ascii="Titillium" w:hAnsi="Titillium" w:cs="Calibri"/>
          <w:i/>
          <w:sz w:val="18"/>
          <w:szCs w:val="18"/>
        </w:rPr>
        <w:t xml:space="preserve">[indicare l’indirizzo]. </w:t>
      </w:r>
    </w:p>
    <w:p w14:paraId="1C85DFD8" w14:textId="10743E09" w:rsidR="004C53A8" w:rsidRPr="003D7007" w:rsidRDefault="00870286">
      <w:pPr>
        <w:tabs>
          <w:tab w:val="left" w:pos="360"/>
        </w:tabs>
        <w:spacing w:before="60" w:after="60"/>
        <w:rPr>
          <w:rFonts w:ascii="Titillium" w:hAnsi="Titillium" w:cs="Calibri"/>
          <w:sz w:val="18"/>
          <w:szCs w:val="18"/>
        </w:rPr>
      </w:pPr>
      <w:r w:rsidRPr="003D7007">
        <w:rPr>
          <w:rFonts w:ascii="Titillium" w:hAnsi="Titillium" w:cs="Calibri"/>
          <w:bCs/>
          <w:iCs/>
          <w:sz w:val="18"/>
          <w:szCs w:val="18"/>
        </w:rPr>
        <w:t>L’offerta d</w:t>
      </w:r>
      <w:r w:rsidR="0001616C" w:rsidRPr="003D7007">
        <w:rPr>
          <w:rFonts w:ascii="Titillium" w:hAnsi="Titillium" w:cs="Calibri"/>
          <w:bCs/>
          <w:iCs/>
          <w:sz w:val="18"/>
          <w:szCs w:val="18"/>
        </w:rPr>
        <w:t>eve</w:t>
      </w:r>
      <w:r w:rsidRPr="003D7007">
        <w:rPr>
          <w:rFonts w:ascii="Titillium" w:hAnsi="Titillium" w:cs="Calibri"/>
          <w:bCs/>
          <w:iCs/>
          <w:sz w:val="18"/>
          <w:szCs w:val="18"/>
        </w:rPr>
        <w:t xml:space="preserve"> pervenire</w:t>
      </w:r>
      <w:r w:rsidRPr="003D7007">
        <w:rPr>
          <w:rFonts w:ascii="Titillium" w:hAnsi="Titillium" w:cs="Calibri"/>
          <w:sz w:val="18"/>
          <w:szCs w:val="18"/>
        </w:rPr>
        <w:t xml:space="preserve"> entro e non oltre le ore … </w:t>
      </w:r>
      <w:r w:rsidR="009D0354" w:rsidRPr="003D7007">
        <w:rPr>
          <w:rFonts w:ascii="Titillium" w:hAnsi="Titillium" w:cs="Calibri"/>
          <w:i/>
          <w:sz w:val="18"/>
          <w:szCs w:val="18"/>
        </w:rPr>
        <w:t xml:space="preserve">[indicare] </w:t>
      </w:r>
      <w:r w:rsidRPr="003D7007">
        <w:rPr>
          <w:rFonts w:ascii="Titillium" w:hAnsi="Titillium" w:cs="Calibri"/>
          <w:sz w:val="18"/>
          <w:szCs w:val="18"/>
        </w:rPr>
        <w:t xml:space="preserve">del giorno … </w:t>
      </w:r>
      <w:r w:rsidR="0030134B" w:rsidRPr="003D7007">
        <w:rPr>
          <w:rFonts w:ascii="Titillium" w:hAnsi="Titillium" w:cs="Calibri"/>
          <w:i/>
          <w:sz w:val="18"/>
          <w:szCs w:val="18"/>
        </w:rPr>
        <w:t xml:space="preserve">[indicare] </w:t>
      </w:r>
      <w:r w:rsidRPr="003D7007">
        <w:rPr>
          <w:rFonts w:ascii="Titillium" w:hAnsi="Titillium" w:cs="Calibri"/>
          <w:sz w:val="18"/>
          <w:szCs w:val="18"/>
        </w:rPr>
        <w:t>a pena di irricevibilità</w:t>
      </w:r>
      <w:r w:rsidRPr="003D7007">
        <w:rPr>
          <w:rFonts w:ascii="Titillium" w:hAnsi="Titillium"/>
          <w:sz w:val="18"/>
          <w:szCs w:val="18"/>
        </w:rPr>
        <w:t>.</w:t>
      </w:r>
      <w:r w:rsidRPr="003D7007">
        <w:rPr>
          <w:rFonts w:ascii="Titillium" w:hAnsi="Titillium" w:cs="Calibri"/>
          <w:sz w:val="18"/>
          <w:szCs w:val="18"/>
        </w:rPr>
        <w:t xml:space="preserve"> La Piattaforma non accetta offerte presentate dopo la data e l’orario stabiliti come termine ultimo di presentazione dell’offerta. </w:t>
      </w:r>
    </w:p>
    <w:tbl>
      <w:tblPr>
        <w:tblStyle w:val="Grigliatabella"/>
        <w:tblW w:w="0" w:type="auto"/>
        <w:tblLook w:val="04A0" w:firstRow="1" w:lastRow="0" w:firstColumn="1" w:lastColumn="0" w:noHBand="0" w:noVBand="1"/>
      </w:tblPr>
      <w:tblGrid>
        <w:gridCol w:w="9210"/>
      </w:tblGrid>
      <w:tr w:rsidR="001B2459" w14:paraId="02B88685" w14:textId="77777777" w:rsidTr="001B2459">
        <w:tc>
          <w:tcPr>
            <w:tcW w:w="9210" w:type="dxa"/>
          </w:tcPr>
          <w:p w14:paraId="2B915D64" w14:textId="61886A23" w:rsidR="001B2459" w:rsidRPr="00472411" w:rsidRDefault="001B2459" w:rsidP="0003597C">
            <w:pPr>
              <w:tabs>
                <w:tab w:val="left" w:pos="360"/>
              </w:tabs>
              <w:spacing w:before="60" w:after="60"/>
              <w:rPr>
                <w:rFonts w:ascii="Titillium" w:hAnsi="Titillium"/>
                <w:i/>
                <w:sz w:val="18"/>
                <w:szCs w:val="18"/>
              </w:rPr>
            </w:pPr>
            <w:r w:rsidRPr="00472411">
              <w:rPr>
                <w:rFonts w:ascii="Titillium" w:hAnsi="Titillium"/>
                <w:i/>
                <w:sz w:val="18"/>
                <w:szCs w:val="18"/>
              </w:rPr>
              <w:t>N.B. Per gare bandite fino alla data del 30 giugno 2023 si applica la riduzione dei termini procedimentali per ragioni di urgenza disposta dall’articolo 8, comma 1, lettera c, del decreto legge del 16 luglio 2020 n. 75, convertito in legge 11 settembre 2020, n. 120, come modificato dal decreto legge 31 maggio 2021 n. 77</w:t>
            </w:r>
            <w:r w:rsidR="0003597C" w:rsidRPr="00472411">
              <w:rPr>
                <w:rFonts w:ascii="Titillium" w:hAnsi="Titillium"/>
                <w:i/>
                <w:sz w:val="18"/>
                <w:szCs w:val="18"/>
              </w:rPr>
              <w:t>, convertito in legge 29 luglio 2021 n. 108</w:t>
            </w:r>
            <w:r w:rsidRPr="00472411">
              <w:rPr>
                <w:rFonts w:ascii="Titillium" w:hAnsi="Titillium"/>
                <w:i/>
                <w:sz w:val="18"/>
                <w:szCs w:val="18"/>
              </w:rPr>
              <w:t>.</w:t>
            </w:r>
          </w:p>
        </w:tc>
      </w:tr>
    </w:tbl>
    <w:p w14:paraId="56E93550" w14:textId="2D323F88" w:rsidR="004C53A8" w:rsidRDefault="00870286">
      <w:pPr>
        <w:spacing w:before="60" w:after="60"/>
      </w:pPr>
      <w:r>
        <w:rPr>
          <w:rFonts w:ascii="Titillium" w:hAnsi="Titillium" w:cs="Calibri"/>
          <w:bCs/>
          <w:iCs/>
          <w:sz w:val="18"/>
          <w:szCs w:val="18"/>
        </w:rPr>
        <w:t>Della data e dell’ora di arrivo dell’offerta fa fede l’orario registrato dalla Piattaforma</w:t>
      </w:r>
      <w:r w:rsidR="0001616C">
        <w:rPr>
          <w:rFonts w:ascii="Titillium" w:hAnsi="Titillium" w:cs="Calibri"/>
          <w:bCs/>
          <w:iCs/>
          <w:sz w:val="18"/>
          <w:szCs w:val="18"/>
        </w:rPr>
        <w:t>.</w:t>
      </w:r>
    </w:p>
    <w:p w14:paraId="4BAF21B7" w14:textId="6B4D393E" w:rsidR="004C53A8" w:rsidRDefault="00870286">
      <w:pPr>
        <w:widowControl w:val="0"/>
        <w:spacing w:before="60" w:after="60" w:line="280" w:lineRule="exact"/>
      </w:pPr>
      <w:r>
        <w:rPr>
          <w:rFonts w:ascii="Titillium" w:hAnsi="Titillium" w:cs="Calibri"/>
          <w:color w:val="000000"/>
          <w:sz w:val="18"/>
          <w:szCs w:val="18"/>
        </w:rPr>
        <w:t>Le operazioni di inserimento sulla Piattaforma di tutta la documentazione richiesta</w:t>
      </w:r>
      <w:r w:rsidR="00C40996">
        <w:rPr>
          <w:rFonts w:ascii="Titillium" w:hAnsi="Titillium" w:cs="Calibri"/>
          <w:color w:val="000000"/>
          <w:sz w:val="18"/>
          <w:szCs w:val="18"/>
        </w:rPr>
        <w:t xml:space="preserve"> </w:t>
      </w:r>
      <w:r>
        <w:rPr>
          <w:rFonts w:ascii="Titillium" w:hAnsi="Titillium" w:cs="Calibri"/>
          <w:color w:val="000000"/>
          <w:sz w:val="18"/>
          <w:szCs w:val="18"/>
        </w:rPr>
        <w:t>rimangono ad esclusivo rischio del concorrente. Si invitano pertanto i concorrenti ad avviare tali attività con congruo anticipo rispetto alla scadenza prevista onde evitare la non completa e quindi mancata trasmissione dell’offerta entro il termine previsto.</w:t>
      </w:r>
      <w:r>
        <w:rPr>
          <w:rFonts w:ascii="Titillium" w:hAnsi="Titillium" w:cs="Calibri"/>
          <w:bCs/>
          <w:iCs/>
          <w:sz w:val="18"/>
          <w:szCs w:val="18"/>
        </w:rPr>
        <w:t xml:space="preserve"> </w:t>
      </w:r>
    </w:p>
    <w:p w14:paraId="18AD59A7" w14:textId="428326CE" w:rsidR="004C53A8" w:rsidRDefault="00870286">
      <w:pPr>
        <w:widowControl w:val="0"/>
        <w:spacing w:before="60" w:after="60" w:line="280" w:lineRule="exact"/>
      </w:pPr>
      <w:r>
        <w:rPr>
          <w:rFonts w:ascii="Titillium" w:hAnsi="Titillium" w:cs="Calibri"/>
          <w:bCs/>
          <w:iCs/>
          <w:sz w:val="18"/>
          <w:szCs w:val="18"/>
        </w:rPr>
        <w:t>Qualora si verifichi un mancato funzionamento o un malfunzionamento della Piattaforma si applica quanto pre</w:t>
      </w:r>
      <w:r w:rsidR="0001616C">
        <w:rPr>
          <w:rFonts w:ascii="Titillium" w:hAnsi="Titillium" w:cs="Calibri"/>
          <w:bCs/>
          <w:iCs/>
          <w:sz w:val="18"/>
          <w:szCs w:val="18"/>
        </w:rPr>
        <w:t>v</w:t>
      </w:r>
      <w:r>
        <w:rPr>
          <w:rFonts w:ascii="Titillium" w:hAnsi="Titillium" w:cs="Calibri"/>
          <w:bCs/>
          <w:iCs/>
          <w:sz w:val="18"/>
          <w:szCs w:val="18"/>
        </w:rPr>
        <w:t>isto al paragrafo 1.1.</w:t>
      </w:r>
    </w:p>
    <w:p w14:paraId="4D550BEC" w14:textId="0042123D" w:rsidR="004C53A8" w:rsidRPr="006B0128" w:rsidRDefault="00870286">
      <w:pPr>
        <w:tabs>
          <w:tab w:val="left" w:pos="360"/>
        </w:tabs>
        <w:spacing w:before="60" w:after="60"/>
        <w:rPr>
          <w:i/>
        </w:rPr>
      </w:pPr>
      <w:r>
        <w:rPr>
          <w:rFonts w:ascii="Titillium" w:hAnsi="Titillium" w:cs="Calibri"/>
          <w:bCs/>
          <w:iCs/>
          <w:sz w:val="18"/>
          <w:szCs w:val="18"/>
        </w:rPr>
        <w:t xml:space="preserve">Ogni operatore economico per la presentazione dell’offerta ha a disposizione una capacità pari alla dimensione massima di </w:t>
      </w:r>
      <w:r w:rsidRPr="006B0128">
        <w:rPr>
          <w:rFonts w:ascii="Titillium" w:hAnsi="Titillium" w:cs="Calibri"/>
          <w:bCs/>
          <w:i/>
          <w:iCs/>
          <w:sz w:val="18"/>
          <w:szCs w:val="18"/>
        </w:rPr>
        <w:t>… [indicare il numero</w:t>
      </w:r>
      <w:r w:rsidR="0030134B" w:rsidRPr="006B0128">
        <w:rPr>
          <w:rFonts w:ascii="Titillium" w:hAnsi="Titillium" w:cs="Calibri"/>
          <w:bCs/>
          <w:i/>
          <w:iCs/>
          <w:sz w:val="18"/>
          <w:szCs w:val="18"/>
        </w:rPr>
        <w:t xml:space="preserve"> e l’unità di misura</w:t>
      </w:r>
      <w:r w:rsidRPr="006B0128">
        <w:rPr>
          <w:rFonts w:ascii="Titillium" w:hAnsi="Titillium" w:cs="Calibri"/>
          <w:bCs/>
          <w:i/>
          <w:iCs/>
          <w:sz w:val="18"/>
          <w:szCs w:val="18"/>
        </w:rPr>
        <w:t>]</w:t>
      </w:r>
      <w:r>
        <w:rPr>
          <w:rFonts w:ascii="Titillium" w:hAnsi="Titillium" w:cs="Calibri"/>
          <w:bCs/>
          <w:iCs/>
          <w:sz w:val="18"/>
          <w:szCs w:val="18"/>
        </w:rPr>
        <w:t xml:space="preserve"> per singolo file. La Piattaforma accetta esclusivamente files con i seguenti formati </w:t>
      </w:r>
      <w:r w:rsidRPr="006B0128">
        <w:rPr>
          <w:rFonts w:ascii="Titillium" w:hAnsi="Titillium" w:cs="Calibri"/>
          <w:bCs/>
          <w:i/>
          <w:iCs/>
          <w:sz w:val="18"/>
          <w:szCs w:val="18"/>
        </w:rPr>
        <w:t>… [indicare i formati dei files che possono essere caricati nella Piattaforma]</w:t>
      </w:r>
    </w:p>
    <w:p w14:paraId="5992F8A0" w14:textId="77777777" w:rsidR="004C53A8" w:rsidRDefault="004C53A8">
      <w:pPr>
        <w:spacing w:before="60" w:after="60"/>
        <w:rPr>
          <w:rFonts w:ascii="Titillium" w:hAnsi="Titillium" w:cs="Calibri"/>
          <w:szCs w:val="24"/>
        </w:rPr>
      </w:pPr>
    </w:p>
    <w:p w14:paraId="7658F69A" w14:textId="26C91FFA" w:rsidR="004C53A8" w:rsidRDefault="00870286">
      <w:pPr>
        <w:spacing w:before="60" w:after="60"/>
        <w:rPr>
          <w:rFonts w:ascii="Titillium" w:hAnsi="Titillium" w:cs="Calibri"/>
          <w:b/>
          <w:sz w:val="18"/>
          <w:szCs w:val="18"/>
        </w:rPr>
      </w:pPr>
      <w:r>
        <w:rPr>
          <w:rFonts w:ascii="Titillium" w:hAnsi="Titillium" w:cs="Calibri"/>
          <w:b/>
          <w:sz w:val="18"/>
          <w:szCs w:val="18"/>
        </w:rPr>
        <w:t>1</w:t>
      </w:r>
      <w:r w:rsidR="00FB3112">
        <w:rPr>
          <w:rFonts w:ascii="Titillium" w:hAnsi="Titillium" w:cs="Calibri"/>
          <w:b/>
          <w:sz w:val="18"/>
          <w:szCs w:val="18"/>
        </w:rPr>
        <w:t>2</w:t>
      </w:r>
      <w:r>
        <w:rPr>
          <w:rFonts w:ascii="Titillium" w:hAnsi="Titillium" w:cs="Calibri"/>
          <w:b/>
          <w:sz w:val="18"/>
          <w:szCs w:val="18"/>
        </w:rPr>
        <w:t>.1 Regole per la presentazione dell’offerta</w:t>
      </w:r>
    </w:p>
    <w:p w14:paraId="4DF9620A" w14:textId="7BEFEBCD" w:rsidR="004C53A8" w:rsidRDefault="00340EA3">
      <w:pPr>
        <w:spacing w:before="60" w:after="60"/>
      </w:pPr>
      <w:r w:rsidRPr="006B0128">
        <w:rPr>
          <w:rFonts w:ascii="Titillium" w:hAnsi="Titillium" w:cs="Calibri"/>
          <w:b/>
          <w:i/>
          <w:sz w:val="18"/>
          <w:szCs w:val="18"/>
        </w:rPr>
        <w:t>[</w:t>
      </w:r>
      <w:r w:rsidRPr="006B0128">
        <w:rPr>
          <w:rFonts w:ascii="Titillium" w:hAnsi="Titillium" w:cs="Calibri"/>
          <w:b/>
          <w:bCs/>
          <w:i/>
          <w:sz w:val="18"/>
          <w:szCs w:val="18"/>
        </w:rPr>
        <w:t>Eventuale</w:t>
      </w:r>
      <w:r w:rsidRPr="006B0128">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 xml:space="preserve">Fermo restando le </w:t>
      </w:r>
      <w:r w:rsidR="008866EE">
        <w:rPr>
          <w:rFonts w:ascii="Titillium" w:hAnsi="Titillium" w:cs="Calibri"/>
          <w:sz w:val="18"/>
          <w:szCs w:val="18"/>
        </w:rPr>
        <w:t xml:space="preserve">indicazioni </w:t>
      </w:r>
      <w:r w:rsidR="00870286">
        <w:rPr>
          <w:rFonts w:ascii="Titillium" w:hAnsi="Titillium" w:cs="Calibri"/>
          <w:sz w:val="18"/>
          <w:szCs w:val="18"/>
        </w:rPr>
        <w:t xml:space="preserve">tecniche </w:t>
      </w:r>
      <w:r w:rsidR="008866EE">
        <w:rPr>
          <w:rFonts w:ascii="Titillium" w:hAnsi="Titillium" w:cs="Calibri"/>
          <w:sz w:val="18"/>
          <w:szCs w:val="18"/>
        </w:rPr>
        <w:t xml:space="preserve">riportate all’articolo 1 </w:t>
      </w:r>
      <w:r w:rsidR="00870286">
        <w:rPr>
          <w:rFonts w:ascii="Titillium" w:hAnsi="Titillium" w:cs="Calibri"/>
          <w:sz w:val="18"/>
          <w:szCs w:val="18"/>
        </w:rPr>
        <w:t>e nel … [</w:t>
      </w:r>
      <w:r w:rsidR="00870286">
        <w:rPr>
          <w:rFonts w:ascii="Titillium" w:hAnsi="Titillium" w:cs="Calibri"/>
          <w:i/>
          <w:sz w:val="18"/>
          <w:szCs w:val="18"/>
        </w:rPr>
        <w:t xml:space="preserve">la SA indica il disciplinare telematico o altro documento tecnico] </w:t>
      </w:r>
      <w:r w:rsidR="00870286">
        <w:rPr>
          <w:rFonts w:ascii="Titillium" w:hAnsi="Titillium" w:cs="Calibri"/>
          <w:sz w:val="18"/>
          <w:szCs w:val="18"/>
        </w:rPr>
        <w:t xml:space="preserve">di seguito sono </w:t>
      </w:r>
      <w:r>
        <w:rPr>
          <w:rFonts w:ascii="Titillium" w:hAnsi="Titillium" w:cs="Calibri"/>
          <w:sz w:val="18"/>
          <w:szCs w:val="18"/>
        </w:rPr>
        <w:t>indicate le modalità di</w:t>
      </w:r>
      <w:r w:rsidR="00870286">
        <w:rPr>
          <w:rFonts w:ascii="Titillium" w:hAnsi="Titillium" w:cs="Calibri"/>
          <w:sz w:val="18"/>
          <w:szCs w:val="18"/>
        </w:rPr>
        <w:t xml:space="preserve"> caricamento dell’offerta nella Piattaforma.</w:t>
      </w:r>
    </w:p>
    <w:p w14:paraId="7332E947" w14:textId="3CB81BDB" w:rsidR="004C53A8" w:rsidRDefault="00870286">
      <w:pPr>
        <w:spacing w:before="60" w:after="60"/>
      </w:pPr>
      <w:r w:rsidRPr="00FB3112">
        <w:rPr>
          <w:rFonts w:ascii="Titillium" w:hAnsi="Titillium" w:cs="Calibri"/>
          <w:i/>
          <w:sz w:val="18"/>
          <w:szCs w:val="18"/>
        </w:rPr>
        <w:t>[</w:t>
      </w:r>
      <w:r>
        <w:rPr>
          <w:rFonts w:ascii="Titillium" w:hAnsi="Titillium" w:cs="Calibri"/>
          <w:i/>
          <w:sz w:val="18"/>
          <w:szCs w:val="18"/>
        </w:rPr>
        <w:t>La SA indica le regole di utilizzo della Piattaforma che non sono indicate nel disciplinare telematico di cui di seguito si fornisce un esempio:</w:t>
      </w:r>
      <w:r>
        <w:rPr>
          <w:rFonts w:ascii="Titillium" w:hAnsi="Titillium" w:cs="Calibri"/>
          <w:sz w:val="18"/>
          <w:szCs w:val="18"/>
        </w:rPr>
        <w:t xml:space="preserve"> …</w:t>
      </w:r>
      <w:r>
        <w:rPr>
          <w:rFonts w:ascii="Titillium" w:hAnsi="Titillium" w:cs="Calibri"/>
          <w:i/>
          <w:sz w:val="18"/>
          <w:szCs w:val="18"/>
        </w:rPr>
        <w:t>]</w:t>
      </w:r>
    </w:p>
    <w:p w14:paraId="032C4C39" w14:textId="77777777" w:rsidR="004C53A8" w:rsidRDefault="00870286">
      <w:pPr>
        <w:pStyle w:val="usoboll1"/>
        <w:spacing w:line="300" w:lineRule="exact"/>
      </w:pPr>
      <w:r>
        <w:rPr>
          <w:rFonts w:ascii="Titillium" w:hAnsi="Titillium" w:cs="Trebuchet MS"/>
          <w:sz w:val="18"/>
          <w:szCs w:val="18"/>
        </w:rPr>
        <w:t>L’“</w:t>
      </w:r>
      <w:r>
        <w:rPr>
          <w:rFonts w:ascii="Titillium" w:hAnsi="Titillium" w:cs="Trebuchet MS"/>
          <w:b/>
          <w:i/>
          <w:sz w:val="18"/>
          <w:szCs w:val="18"/>
        </w:rPr>
        <w:t>OFFERTA</w:t>
      </w:r>
      <w:r>
        <w:rPr>
          <w:rFonts w:ascii="Titillium" w:hAnsi="Titillium" w:cs="Trebuchet MS"/>
          <w:sz w:val="18"/>
          <w:szCs w:val="18"/>
        </w:rPr>
        <w:t xml:space="preserve">” è composta da: </w:t>
      </w:r>
    </w:p>
    <w:p w14:paraId="5574CAE5" w14:textId="77777777" w:rsidR="004C53A8" w:rsidRDefault="00870286">
      <w:pPr>
        <w:pStyle w:val="usoboll1"/>
        <w:spacing w:line="300" w:lineRule="exact"/>
        <w:ind w:left="567"/>
      </w:pPr>
      <w:r>
        <w:rPr>
          <w:rFonts w:ascii="Titillium" w:hAnsi="Titillium" w:cs="Trebuchet MS"/>
          <w:sz w:val="18"/>
          <w:szCs w:val="18"/>
        </w:rPr>
        <w:t xml:space="preserve">A – </w:t>
      </w:r>
      <w:r>
        <w:rPr>
          <w:rFonts w:ascii="Titillium" w:hAnsi="Titillium" w:cs="Trebuchet MS"/>
          <w:b/>
          <w:sz w:val="18"/>
          <w:szCs w:val="18"/>
        </w:rPr>
        <w:t>Documentazione amministrativa</w:t>
      </w:r>
      <w:r>
        <w:rPr>
          <w:rFonts w:ascii="Titillium" w:hAnsi="Titillium" w:cs="Trebuchet MS"/>
          <w:sz w:val="18"/>
          <w:szCs w:val="18"/>
        </w:rPr>
        <w:t xml:space="preserve">; </w:t>
      </w:r>
    </w:p>
    <w:p w14:paraId="7C98A921" w14:textId="77777777" w:rsidR="004C53A8" w:rsidRDefault="00870286">
      <w:pPr>
        <w:pStyle w:val="usoboll1"/>
        <w:spacing w:line="300" w:lineRule="exact"/>
        <w:ind w:left="567"/>
      </w:pPr>
      <w:r>
        <w:rPr>
          <w:rFonts w:ascii="Titillium" w:hAnsi="Titillium" w:cs="Trebuchet MS"/>
          <w:sz w:val="18"/>
          <w:szCs w:val="18"/>
        </w:rPr>
        <w:t xml:space="preserve">B – </w:t>
      </w:r>
      <w:r>
        <w:rPr>
          <w:rFonts w:ascii="Titillium" w:hAnsi="Titillium" w:cs="Trebuchet MS"/>
          <w:b/>
          <w:bCs/>
          <w:sz w:val="18"/>
          <w:szCs w:val="18"/>
        </w:rPr>
        <w:t xml:space="preserve">Offerta tecnica </w:t>
      </w:r>
      <w:r>
        <w:rPr>
          <w:rFonts w:ascii="Titillium" w:hAnsi="Titillium" w:cs="Calibri"/>
          <w:bCs/>
          <w:i/>
          <w:sz w:val="18"/>
          <w:szCs w:val="18"/>
        </w:rPr>
        <w:t>[</w:t>
      </w:r>
      <w:r>
        <w:rPr>
          <w:rFonts w:ascii="Titillium" w:hAnsi="Titillium" w:cs="Trebuchet MS"/>
          <w:i/>
          <w:color w:val="000000"/>
          <w:sz w:val="18"/>
          <w:szCs w:val="18"/>
        </w:rPr>
        <w:t>eventuale, in caso di divisione in Lotti: una per ogni Lotto per il quale si intende partecipare</w:t>
      </w:r>
      <w:r>
        <w:rPr>
          <w:rFonts w:ascii="Titillium" w:hAnsi="Titillium" w:cs="Calibri"/>
          <w:i/>
          <w:color w:val="000000"/>
          <w:sz w:val="18"/>
          <w:szCs w:val="18"/>
        </w:rPr>
        <w:t>]</w:t>
      </w:r>
      <w:r>
        <w:rPr>
          <w:rFonts w:ascii="Titillium" w:hAnsi="Titillium" w:cs="Trebuchet MS"/>
          <w:color w:val="000000"/>
          <w:sz w:val="18"/>
          <w:szCs w:val="18"/>
        </w:rPr>
        <w:t xml:space="preserve">; </w:t>
      </w:r>
    </w:p>
    <w:p w14:paraId="079D4416" w14:textId="40E2D60D" w:rsidR="004C53A8" w:rsidRDefault="00870286">
      <w:pPr>
        <w:pStyle w:val="usoboll1"/>
        <w:spacing w:line="300" w:lineRule="exact"/>
        <w:ind w:left="567"/>
      </w:pPr>
      <w:r>
        <w:rPr>
          <w:rFonts w:ascii="Titillium" w:hAnsi="Titillium" w:cs="Trebuchet MS"/>
          <w:color w:val="000000"/>
          <w:sz w:val="18"/>
          <w:szCs w:val="18"/>
        </w:rPr>
        <w:t xml:space="preserve">C – </w:t>
      </w:r>
      <w:r>
        <w:rPr>
          <w:rFonts w:ascii="Titillium" w:hAnsi="Titillium" w:cs="Trebuchet MS"/>
          <w:b/>
          <w:bCs/>
          <w:color w:val="000000"/>
          <w:sz w:val="18"/>
          <w:szCs w:val="18"/>
        </w:rPr>
        <w:t>Offerta economica</w:t>
      </w:r>
      <w:r>
        <w:rPr>
          <w:rFonts w:ascii="Titillium" w:hAnsi="Titillium" w:cs="Trebuchet MS"/>
          <w:i/>
          <w:color w:val="000000"/>
          <w:sz w:val="18"/>
          <w:szCs w:val="18"/>
        </w:rPr>
        <w:t xml:space="preserve"> </w:t>
      </w:r>
      <w:r>
        <w:rPr>
          <w:rFonts w:ascii="Titillium" w:hAnsi="Titillium" w:cs="Calibri"/>
          <w:i/>
          <w:color w:val="000000"/>
          <w:sz w:val="18"/>
          <w:szCs w:val="18"/>
        </w:rPr>
        <w:t>[</w:t>
      </w:r>
      <w:r>
        <w:rPr>
          <w:rFonts w:ascii="Titillium" w:hAnsi="Titillium" w:cs="Trebuchet MS"/>
          <w:i/>
          <w:color w:val="000000"/>
          <w:sz w:val="18"/>
          <w:szCs w:val="18"/>
        </w:rPr>
        <w:t xml:space="preserve">eventuale, in caso </w:t>
      </w:r>
      <w:r>
        <w:rPr>
          <w:rFonts w:ascii="Titillium" w:hAnsi="Titillium" w:cs="Trebuchet MS"/>
          <w:i/>
          <w:iCs/>
          <w:color w:val="000000"/>
          <w:sz w:val="18"/>
          <w:szCs w:val="18"/>
        </w:rPr>
        <w:t>di divisione in Lotti: una per ogni Lotto per il quale si intende partecipare</w:t>
      </w:r>
      <w:r>
        <w:rPr>
          <w:rFonts w:ascii="Titillium" w:hAnsi="Titillium" w:cs="Calibri"/>
          <w:i/>
          <w:color w:val="000000"/>
          <w:sz w:val="18"/>
          <w:szCs w:val="18"/>
        </w:rPr>
        <w:t>]</w:t>
      </w:r>
      <w:r w:rsidR="00340EA3">
        <w:rPr>
          <w:rFonts w:ascii="Titillium" w:hAnsi="Titillium" w:cs="Trebuchet MS"/>
          <w:color w:val="000000"/>
          <w:sz w:val="18"/>
          <w:szCs w:val="18"/>
        </w:rPr>
        <w:t>.</w:t>
      </w:r>
      <w:r>
        <w:rPr>
          <w:rFonts w:ascii="Titillium" w:hAnsi="Titillium" w:cs="Trebuchet MS"/>
          <w:color w:val="000000"/>
          <w:sz w:val="18"/>
          <w:szCs w:val="18"/>
        </w:rPr>
        <w:t xml:space="preserve"> </w:t>
      </w:r>
    </w:p>
    <w:p w14:paraId="2428B53B" w14:textId="77777777" w:rsidR="004C53A8" w:rsidRDefault="004C53A8">
      <w:pPr>
        <w:pStyle w:val="usoboll1"/>
        <w:spacing w:line="300" w:lineRule="exact"/>
        <w:rPr>
          <w:rFonts w:ascii="Titillium" w:hAnsi="Titillium" w:cs="Trebuchet MS"/>
          <w:sz w:val="20"/>
        </w:rPr>
      </w:pPr>
    </w:p>
    <w:p w14:paraId="2246AD9C" w14:textId="4ECC573A" w:rsidR="004C53A8" w:rsidRPr="00FB3112" w:rsidRDefault="00340EA3">
      <w:pPr>
        <w:spacing w:before="60" w:after="60"/>
      </w:pPr>
      <w:r w:rsidRPr="006B0128">
        <w:rPr>
          <w:rFonts w:ascii="Titillium" w:hAnsi="Titillium" w:cs="Calibri"/>
          <w:b/>
          <w:i/>
          <w:sz w:val="18"/>
          <w:szCs w:val="18"/>
        </w:rPr>
        <w:t>[</w:t>
      </w:r>
      <w:r w:rsidRPr="006B0128">
        <w:rPr>
          <w:rFonts w:ascii="Titillium" w:hAnsi="Titillium" w:cs="Calibri"/>
          <w:b/>
          <w:bCs/>
          <w:i/>
          <w:sz w:val="18"/>
          <w:szCs w:val="18"/>
        </w:rPr>
        <w:t>Eventuale</w:t>
      </w:r>
      <w:r w:rsidRPr="006B0128">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L’operatore economico ha facoltà di inserire nella Piattaforma</w:t>
      </w:r>
      <w:r w:rsidR="00C40996">
        <w:rPr>
          <w:rFonts w:ascii="Titillium" w:hAnsi="Titillium" w:cs="Calibri"/>
          <w:sz w:val="18"/>
          <w:szCs w:val="18"/>
        </w:rPr>
        <w:t xml:space="preserve"> </w:t>
      </w:r>
      <w:r w:rsidR="00870286">
        <w:rPr>
          <w:rFonts w:ascii="Titillium" w:hAnsi="Titillium" w:cs="Calibri"/>
          <w:sz w:val="18"/>
          <w:szCs w:val="18"/>
        </w:rPr>
        <w:t xml:space="preserve">offerte successive che sostituiscono la precedente, ovvero ritirare l’offerta presentata, nel </w:t>
      </w:r>
      <w:r w:rsidR="00870286" w:rsidRPr="00FB3112">
        <w:rPr>
          <w:rFonts w:ascii="Titillium" w:hAnsi="Titillium" w:cs="Calibri"/>
          <w:sz w:val="18"/>
          <w:szCs w:val="18"/>
        </w:rPr>
        <w:t xml:space="preserve">periodo di tempo compreso tra la data e ora di inizio e la data e ora di chiusura della fase di presentazione delle offerte. </w:t>
      </w:r>
      <w:r w:rsidR="00870286" w:rsidRPr="00FB3112">
        <w:rPr>
          <w:rFonts w:ascii="Titillium" w:hAnsi="Titillium" w:cs="Calibri"/>
          <w:bCs/>
          <w:color w:val="000000"/>
          <w:sz w:val="18"/>
          <w:szCs w:val="18"/>
        </w:rPr>
        <w:t>La stazione appaltante considera esclusivamente l’ultima offerta presentata.</w:t>
      </w:r>
      <w:r w:rsidR="00870286" w:rsidRPr="00FB3112">
        <w:rPr>
          <w:rFonts w:ascii="Titillium" w:hAnsi="Titillium" w:cs="Calibri"/>
          <w:sz w:val="18"/>
          <w:szCs w:val="18"/>
        </w:rPr>
        <w:t xml:space="preserve"> </w:t>
      </w:r>
    </w:p>
    <w:p w14:paraId="0C7F043B" w14:textId="77777777" w:rsidR="004C53A8" w:rsidRDefault="00870286">
      <w:pPr>
        <w:pStyle w:val="Default"/>
        <w:rPr>
          <w:rFonts w:ascii="Titillium" w:hAnsi="Titillium"/>
          <w:sz w:val="18"/>
          <w:szCs w:val="18"/>
        </w:rPr>
      </w:pPr>
      <w:r>
        <w:rPr>
          <w:rFonts w:ascii="Titillium" w:hAnsi="Titillium"/>
          <w:sz w:val="18"/>
          <w:szCs w:val="18"/>
        </w:rPr>
        <w:t xml:space="preserve">Si precisa inoltre che: </w:t>
      </w:r>
    </w:p>
    <w:p w14:paraId="7FD1F4A4" w14:textId="28354875" w:rsidR="004C53A8" w:rsidRDefault="00870286" w:rsidP="00B44957">
      <w:pPr>
        <w:pStyle w:val="Default"/>
        <w:numPr>
          <w:ilvl w:val="0"/>
          <w:numId w:val="22"/>
        </w:numPr>
        <w:spacing w:after="70" w:line="240" w:lineRule="auto"/>
        <w:ind w:left="709" w:hanging="357"/>
        <w:rPr>
          <w:rFonts w:ascii="Titillium" w:hAnsi="Titillium"/>
          <w:sz w:val="18"/>
          <w:szCs w:val="18"/>
        </w:rPr>
      </w:pPr>
      <w:r>
        <w:rPr>
          <w:rFonts w:ascii="Titillium" w:hAnsi="Titillium"/>
          <w:sz w:val="18"/>
          <w:szCs w:val="18"/>
        </w:rPr>
        <w:t>l’offerta è vincolante per il concorrente;</w:t>
      </w:r>
    </w:p>
    <w:p w14:paraId="34A33409" w14:textId="20E68BEF" w:rsidR="004C53A8" w:rsidRDefault="00870286" w:rsidP="00B44957">
      <w:pPr>
        <w:pStyle w:val="Default"/>
        <w:numPr>
          <w:ilvl w:val="0"/>
          <w:numId w:val="22"/>
        </w:numPr>
        <w:spacing w:line="240" w:lineRule="auto"/>
        <w:ind w:left="709" w:hanging="357"/>
        <w:rPr>
          <w:rFonts w:ascii="Titillium" w:hAnsi="Titillium" w:cs="Calibri"/>
          <w:sz w:val="18"/>
          <w:szCs w:val="18"/>
        </w:rPr>
      </w:pPr>
      <w:r>
        <w:rPr>
          <w:rFonts w:ascii="Titillium" w:hAnsi="Titillium" w:cs="Calibri"/>
          <w:sz w:val="18"/>
          <w:szCs w:val="18"/>
        </w:rPr>
        <w:t>con la trasmissione dell’offerta, il concorrente accetta tutta la documentazione di gara, allegati e chiarimenti inclusi.</w:t>
      </w:r>
    </w:p>
    <w:p w14:paraId="74100BDE" w14:textId="512D0EBF" w:rsidR="004C53A8" w:rsidRDefault="00870286">
      <w:pPr>
        <w:spacing w:before="60" w:after="60"/>
      </w:pPr>
      <w:r>
        <w:rPr>
          <w:rFonts w:ascii="Titillium" w:hAnsi="Titillium" w:cs="Calibri"/>
          <w:sz w:val="18"/>
          <w:szCs w:val="18"/>
        </w:rPr>
        <w:t>Al momento della ricezione delle offerte, ai sensi dell’articolo 58, comma 5 del Codice, ciascun concorrente riceve not</w:t>
      </w:r>
      <w:r w:rsidR="00450DD4">
        <w:rPr>
          <w:rFonts w:ascii="Titillium" w:hAnsi="Titillium" w:cs="Calibri"/>
          <w:sz w:val="18"/>
          <w:szCs w:val="18"/>
        </w:rPr>
        <w:t>i</w:t>
      </w:r>
      <w:r>
        <w:rPr>
          <w:rFonts w:ascii="Titillium" w:hAnsi="Titillium" w:cs="Calibri"/>
          <w:sz w:val="18"/>
          <w:szCs w:val="18"/>
        </w:rPr>
        <w:t>fica del corretto recepimento della documentazione inviata</w:t>
      </w:r>
      <w:r w:rsidR="00450DD4">
        <w:rPr>
          <w:rFonts w:ascii="Titillium" w:hAnsi="Titillium" w:cs="Calibri"/>
          <w:sz w:val="18"/>
          <w:szCs w:val="18"/>
        </w:rPr>
        <w:t xml:space="preserve"> </w:t>
      </w:r>
      <w:r w:rsidR="00450DD4" w:rsidRPr="00450DD4">
        <w:rPr>
          <w:rFonts w:ascii="Titillium" w:hAnsi="Titillium" w:cs="Calibri"/>
          <w:i/>
          <w:sz w:val="18"/>
          <w:szCs w:val="18"/>
        </w:rPr>
        <w:t>[eventuale, mediante … specificare in che modo]</w:t>
      </w:r>
      <w:r>
        <w:rPr>
          <w:rFonts w:ascii="Titillium" w:hAnsi="Titillium" w:cs="Calibri"/>
          <w:sz w:val="18"/>
          <w:szCs w:val="18"/>
        </w:rPr>
        <w:t xml:space="preserve">. </w:t>
      </w:r>
    </w:p>
    <w:p w14:paraId="26A4323F" w14:textId="6787ABBA" w:rsidR="004C53A8" w:rsidRDefault="00E6791D">
      <w:pPr>
        <w:pStyle w:val="Default"/>
        <w:spacing w:before="60" w:after="60"/>
      </w:pPr>
      <w:r>
        <w:rPr>
          <w:rFonts w:ascii="Titillium" w:hAnsi="Titillium" w:cs="Calibri"/>
          <w:sz w:val="18"/>
          <w:szCs w:val="18"/>
        </w:rPr>
        <w:t xml:space="preserve">La Piattaforma consente al </w:t>
      </w:r>
      <w:r w:rsidR="00870286">
        <w:rPr>
          <w:rFonts w:ascii="Titillium" w:hAnsi="Titillium" w:cs="Calibri"/>
          <w:sz w:val="18"/>
          <w:szCs w:val="18"/>
        </w:rPr>
        <w:t xml:space="preserve">concorrente </w:t>
      </w:r>
      <w:r>
        <w:rPr>
          <w:rFonts w:ascii="Titillium" w:hAnsi="Titillium" w:cs="Calibri"/>
          <w:sz w:val="18"/>
          <w:szCs w:val="18"/>
        </w:rPr>
        <w:t xml:space="preserve">di </w:t>
      </w:r>
      <w:r w:rsidR="00870286">
        <w:rPr>
          <w:rFonts w:ascii="Titillium" w:hAnsi="Titillium" w:cs="Calibri"/>
          <w:sz w:val="18"/>
          <w:szCs w:val="18"/>
        </w:rPr>
        <w:t xml:space="preserve">visualizzare l’avvenuta trasmissione della domanda. </w:t>
      </w:r>
    </w:p>
    <w:p w14:paraId="04285243" w14:textId="77777777" w:rsidR="004C53A8" w:rsidRDefault="00870286">
      <w:pPr>
        <w:spacing w:before="60" w:after="60"/>
      </w:pPr>
      <w:r>
        <w:rPr>
          <w:rFonts w:ascii="Titillium" w:hAnsi="Titillium"/>
          <w:sz w:val="18"/>
          <w:szCs w:val="18"/>
        </w:rPr>
        <w:t xml:space="preserve">Il concorrente che intenda </w:t>
      </w:r>
      <w:r w:rsidRPr="001C08AC">
        <w:rPr>
          <w:rFonts w:ascii="Titillium" w:hAnsi="Titillium"/>
          <w:sz w:val="18"/>
          <w:szCs w:val="18"/>
        </w:rPr>
        <w:t>partecipare in forma associata</w:t>
      </w:r>
      <w:r>
        <w:rPr>
          <w:rFonts w:ascii="Titillium" w:hAnsi="Titillium"/>
          <w:sz w:val="18"/>
          <w:szCs w:val="18"/>
        </w:rPr>
        <w:t xml:space="preserve"> (per esempio raggruppamento temporaneo di imprese/Consorzi, sia costituiti che costituendi) in sede di presentazione dell’offerta indica la forma di partecipazione e indica gli operatori economici riuniti o consorziati. </w:t>
      </w:r>
    </w:p>
    <w:p w14:paraId="19E890BC" w14:textId="77777777" w:rsidR="004C53A8" w:rsidRDefault="00870286">
      <w:pPr>
        <w:spacing w:before="60" w:after="60"/>
      </w:pPr>
      <w:r>
        <w:rPr>
          <w:rFonts w:ascii="Titillium" w:hAnsi="Titillium"/>
          <w:b/>
          <w:i/>
          <w:sz w:val="18"/>
          <w:szCs w:val="18"/>
        </w:rPr>
        <w:t>[Facoltativo]</w:t>
      </w:r>
      <w:r>
        <w:rPr>
          <w:rFonts w:ascii="Titillium" w:hAnsi="Titillium"/>
          <w:sz w:val="18"/>
          <w:szCs w:val="18"/>
        </w:rPr>
        <w:t xml:space="preserve"> Le dichiarazioni </w:t>
      </w:r>
      <w:r>
        <w:rPr>
          <w:rFonts w:ascii="Titillium" w:hAnsi="Titillium"/>
          <w:i/>
          <w:sz w:val="18"/>
          <w:szCs w:val="18"/>
        </w:rPr>
        <w:t>... [specificare quali]</w:t>
      </w:r>
      <w:r>
        <w:rPr>
          <w:rFonts w:ascii="Titillium" w:hAnsi="Titillium"/>
          <w:sz w:val="18"/>
          <w:szCs w:val="18"/>
        </w:rPr>
        <w:t xml:space="preserve"> sono redatte sui modelli predisposti e messi a disposizione nella Piattaforma </w:t>
      </w:r>
      <w:r>
        <w:rPr>
          <w:rFonts w:ascii="Titillium" w:hAnsi="Titillium"/>
          <w:i/>
          <w:sz w:val="18"/>
          <w:szCs w:val="18"/>
        </w:rPr>
        <w:t>[eventualmente indicare l’indirizzo internet dove si può prendere visione delle dichiarazioni]</w:t>
      </w:r>
      <w:r>
        <w:rPr>
          <w:rFonts w:ascii="Titillium" w:hAnsi="Titillium"/>
          <w:sz w:val="18"/>
          <w:szCs w:val="18"/>
        </w:rPr>
        <w:t xml:space="preserve">.  </w:t>
      </w:r>
    </w:p>
    <w:p w14:paraId="0A053F36" w14:textId="56948D13" w:rsidR="004C53A8" w:rsidRDefault="00870286">
      <w:pPr>
        <w:spacing w:before="60" w:after="60"/>
      </w:pPr>
      <w:r w:rsidRPr="00450DD4">
        <w:rPr>
          <w:rFonts w:ascii="Titillium" w:hAnsi="Titillium"/>
          <w:sz w:val="18"/>
          <w:szCs w:val="18"/>
        </w:rPr>
        <w:t>Tutta la documentazione da produrre deve essere in lingua italiana</w:t>
      </w:r>
      <w:r w:rsidR="00331E4A">
        <w:rPr>
          <w:rFonts w:ascii="Titillium" w:hAnsi="Titillium"/>
          <w:sz w:val="18"/>
          <w:szCs w:val="18"/>
        </w:rPr>
        <w:t>.</w:t>
      </w:r>
      <w:r w:rsidR="00B44957">
        <w:rPr>
          <w:rFonts w:ascii="Titillium" w:hAnsi="Titillium"/>
          <w:sz w:val="18"/>
          <w:szCs w:val="18"/>
        </w:rPr>
        <w:t xml:space="preserve"> </w:t>
      </w:r>
      <w:r w:rsidRPr="00331E4A">
        <w:rPr>
          <w:rFonts w:ascii="Titillium" w:hAnsi="Titillium"/>
          <w:b/>
          <w:i/>
          <w:sz w:val="18"/>
          <w:szCs w:val="18"/>
        </w:rPr>
        <w:t>[</w:t>
      </w:r>
      <w:r w:rsidR="00C40996">
        <w:rPr>
          <w:rFonts w:ascii="Titillium" w:hAnsi="Titillium"/>
          <w:b/>
          <w:bCs/>
          <w:i/>
          <w:sz w:val="18"/>
          <w:szCs w:val="18"/>
        </w:rPr>
        <w:t>I</w:t>
      </w:r>
      <w:r w:rsidRPr="00472411">
        <w:rPr>
          <w:rFonts w:ascii="Titillium" w:hAnsi="Titillium"/>
          <w:b/>
          <w:bCs/>
          <w:i/>
          <w:sz w:val="18"/>
          <w:szCs w:val="18"/>
        </w:rPr>
        <w:t xml:space="preserve">n </w:t>
      </w:r>
      <w:r w:rsidRPr="00331E4A">
        <w:rPr>
          <w:rFonts w:ascii="Titillium" w:hAnsi="Titillium"/>
          <w:b/>
          <w:bCs/>
          <w:i/>
          <w:sz w:val="18"/>
          <w:szCs w:val="18"/>
        </w:rPr>
        <w:t>alternativa</w:t>
      </w:r>
      <w:r w:rsidRPr="00331E4A">
        <w:rPr>
          <w:rFonts w:ascii="Titillium" w:hAnsi="Titillium"/>
          <w:i/>
          <w:sz w:val="18"/>
          <w:szCs w:val="18"/>
        </w:rPr>
        <w:t xml:space="preserve"> in caso di</w:t>
      </w:r>
      <w:r w:rsidR="00331E4A" w:rsidRPr="00331E4A">
        <w:rPr>
          <w:rFonts w:ascii="Titillium" w:hAnsi="Titillium"/>
          <w:i/>
          <w:sz w:val="18"/>
          <w:szCs w:val="18"/>
        </w:rPr>
        <w:t xml:space="preserve"> bilinguismo</w:t>
      </w:r>
      <w:r w:rsidRPr="00472411">
        <w:rPr>
          <w:rFonts w:ascii="Titillium" w:hAnsi="Titillium"/>
          <w:b/>
          <w:i/>
          <w:sz w:val="18"/>
          <w:szCs w:val="18"/>
        </w:rPr>
        <w:t>]</w:t>
      </w:r>
      <w:r>
        <w:rPr>
          <w:rFonts w:ascii="Titillium" w:hAnsi="Titillium"/>
          <w:sz w:val="18"/>
          <w:szCs w:val="18"/>
        </w:rPr>
        <w:t xml:space="preserve"> Tutta la documentazione da produrre deve essere in lingua italiana </w:t>
      </w:r>
      <w:r w:rsidR="00065688">
        <w:rPr>
          <w:rFonts w:ascii="Titillium" w:hAnsi="Titillium"/>
          <w:sz w:val="18"/>
          <w:szCs w:val="18"/>
        </w:rPr>
        <w:t>[</w:t>
      </w:r>
      <w:r w:rsidR="00331E4A" w:rsidRPr="00065688">
        <w:rPr>
          <w:rFonts w:ascii="Titillium" w:hAnsi="Titillium"/>
          <w:i/>
          <w:sz w:val="18"/>
          <w:szCs w:val="18"/>
        </w:rPr>
        <w:t>e</w:t>
      </w:r>
      <w:r w:rsidR="00065688" w:rsidRPr="00065688">
        <w:rPr>
          <w:rFonts w:ascii="Titillium" w:hAnsi="Titillium"/>
          <w:i/>
          <w:sz w:val="18"/>
          <w:szCs w:val="18"/>
        </w:rPr>
        <w:t>, o</w:t>
      </w:r>
      <w:r w:rsidR="00065688">
        <w:rPr>
          <w:rFonts w:ascii="Titillium" w:hAnsi="Titillium"/>
          <w:i/>
          <w:sz w:val="18"/>
          <w:szCs w:val="18"/>
        </w:rPr>
        <w:t xml:space="preserve"> specificare</w:t>
      </w:r>
      <w:r w:rsidR="00065688">
        <w:rPr>
          <w:rFonts w:ascii="Titillium" w:hAnsi="Titillium"/>
          <w:sz w:val="18"/>
          <w:szCs w:val="18"/>
        </w:rPr>
        <w:t>]</w:t>
      </w:r>
      <w:r>
        <w:rPr>
          <w:rFonts w:ascii="Titillium" w:hAnsi="Titillium"/>
          <w:sz w:val="18"/>
          <w:szCs w:val="18"/>
        </w:rPr>
        <w:t xml:space="preserve"> </w:t>
      </w:r>
      <w:r w:rsidR="00331E4A" w:rsidRPr="00472411">
        <w:rPr>
          <w:rFonts w:ascii="Titillium" w:hAnsi="Titillium"/>
          <w:i/>
          <w:sz w:val="18"/>
          <w:szCs w:val="18"/>
        </w:rPr>
        <w:t>… [indicare l’altra lingua].</w:t>
      </w:r>
      <w:r>
        <w:rPr>
          <w:rFonts w:ascii="Titillium" w:hAnsi="Titillium"/>
          <w:sz w:val="18"/>
          <w:szCs w:val="18"/>
        </w:rPr>
        <w:t xml:space="preserve"> </w:t>
      </w:r>
    </w:p>
    <w:p w14:paraId="27076E76" w14:textId="4BA23FE4" w:rsidR="00450DD4" w:rsidRDefault="00870286">
      <w:pPr>
        <w:spacing w:before="60" w:after="60"/>
      </w:pPr>
      <w:r w:rsidRPr="001B5A3D">
        <w:rPr>
          <w:rFonts w:ascii="Titillium" w:hAnsi="Titillium"/>
          <w:b/>
          <w:i/>
          <w:sz w:val="18"/>
          <w:szCs w:val="18"/>
        </w:rPr>
        <w:t>[</w:t>
      </w:r>
      <w:r w:rsidRPr="001B5A3D">
        <w:rPr>
          <w:rFonts w:ascii="Titillium" w:hAnsi="Titillium"/>
          <w:b/>
          <w:bCs/>
          <w:i/>
          <w:sz w:val="18"/>
          <w:szCs w:val="18"/>
        </w:rPr>
        <w:t>Facoltativo</w:t>
      </w:r>
      <w:r w:rsidRPr="001B5A3D">
        <w:rPr>
          <w:rFonts w:ascii="Titillium" w:hAnsi="Titillium"/>
          <w:b/>
          <w:i/>
          <w:sz w:val="18"/>
          <w:szCs w:val="18"/>
        </w:rPr>
        <w:t>]</w:t>
      </w:r>
      <w:r w:rsidRPr="001B5A3D">
        <w:rPr>
          <w:rFonts w:ascii="Titillium" w:hAnsi="Titillium"/>
          <w:sz w:val="18"/>
          <w:szCs w:val="18"/>
        </w:rPr>
        <w:t xml:space="preserve"> </w:t>
      </w:r>
      <w:r>
        <w:rPr>
          <w:rFonts w:ascii="Titillium" w:hAnsi="Titillium"/>
          <w:sz w:val="18"/>
          <w:szCs w:val="18"/>
        </w:rPr>
        <w:t xml:space="preserve">I documenti a comprova dei requisiti di partecipazione </w:t>
      </w:r>
      <w:r w:rsidR="00450DD4" w:rsidRPr="00450DD4">
        <w:rPr>
          <w:rFonts w:ascii="Titillium" w:hAnsi="Titillium"/>
          <w:i/>
          <w:sz w:val="18"/>
          <w:szCs w:val="18"/>
        </w:rPr>
        <w:t>[se del caso specificare quali]</w:t>
      </w:r>
      <w:r w:rsidR="00450DD4">
        <w:rPr>
          <w:rFonts w:ascii="Titillium" w:hAnsi="Titillium"/>
          <w:sz w:val="18"/>
          <w:szCs w:val="18"/>
        </w:rPr>
        <w:t xml:space="preserve"> </w:t>
      </w:r>
      <w:r>
        <w:rPr>
          <w:rFonts w:ascii="Titillium" w:hAnsi="Titillium"/>
          <w:sz w:val="18"/>
          <w:szCs w:val="18"/>
        </w:rPr>
        <w:t>possono essere presentati senza bisogno di traduzione se redatti in inglese, francese, spagnolo [</w:t>
      </w:r>
      <w:r>
        <w:rPr>
          <w:rFonts w:ascii="Titillium" w:hAnsi="Titillium"/>
          <w:i/>
          <w:iCs/>
          <w:sz w:val="18"/>
          <w:szCs w:val="18"/>
        </w:rPr>
        <w:t>specificare eventuali altre lingue conosciute dalla stazione appaltante</w:t>
      </w:r>
      <w:r w:rsidR="00450DD4">
        <w:rPr>
          <w:rFonts w:ascii="Titillium" w:hAnsi="Titillium"/>
          <w:i/>
          <w:iCs/>
          <w:sz w:val="18"/>
          <w:szCs w:val="18"/>
        </w:rPr>
        <w:t>]</w:t>
      </w:r>
      <w:r>
        <w:rPr>
          <w:rFonts w:ascii="Titillium" w:hAnsi="Titillium"/>
          <w:sz w:val="18"/>
          <w:szCs w:val="18"/>
        </w:rPr>
        <w:t>; in tutti gli altri casi i documenti devono essere corredati da traduzione giurata in lingua italiana.</w:t>
      </w:r>
      <w:r w:rsidR="00450DD4">
        <w:t xml:space="preserve"> </w:t>
      </w:r>
    </w:p>
    <w:p w14:paraId="6534643C" w14:textId="2D4F1DF1" w:rsidR="004C53A8" w:rsidRPr="00450DD4" w:rsidRDefault="00870286">
      <w:pPr>
        <w:spacing w:before="60" w:after="60"/>
      </w:pPr>
      <w:r>
        <w:rPr>
          <w:rFonts w:ascii="Titillium" w:hAnsi="Titillium"/>
          <w:sz w:val="18"/>
          <w:szCs w:val="18"/>
        </w:rPr>
        <w:t xml:space="preserve">In caso di mancanza, incompletezza o irregolarità della traduzione </w:t>
      </w:r>
      <w:r w:rsidR="00A1476D">
        <w:rPr>
          <w:rFonts w:ascii="Titillium" w:hAnsi="Titillium"/>
          <w:sz w:val="18"/>
          <w:szCs w:val="18"/>
        </w:rPr>
        <w:t>della</w:t>
      </w:r>
      <w:r>
        <w:rPr>
          <w:rFonts w:ascii="Titillium" w:hAnsi="Titillium"/>
          <w:sz w:val="18"/>
          <w:szCs w:val="18"/>
        </w:rPr>
        <w:t xml:space="preserve"> documentazione amministrativa, si applica l’articolo 83, comma 9 del Codice.</w:t>
      </w:r>
    </w:p>
    <w:p w14:paraId="25F6475C" w14:textId="4E67A32D" w:rsidR="004C53A8" w:rsidRDefault="00870286">
      <w:pPr>
        <w:spacing w:before="60" w:after="60"/>
      </w:pPr>
      <w:r>
        <w:rPr>
          <w:rFonts w:ascii="Titillium" w:hAnsi="Titillium" w:cs="Calibri"/>
          <w:sz w:val="18"/>
          <w:szCs w:val="18"/>
        </w:rPr>
        <w:t>L’offerta vincola il concorrente per</w:t>
      </w:r>
      <w:r>
        <w:rPr>
          <w:rFonts w:ascii="Titillium" w:hAnsi="Titillium" w:cs="Calibri"/>
          <w:i/>
          <w:sz w:val="18"/>
          <w:szCs w:val="18"/>
        </w:rPr>
        <w:t xml:space="preserve"> … [indicare il numero dei giorni pari ad almeno 180 giorni] </w:t>
      </w:r>
      <w:r>
        <w:rPr>
          <w:rFonts w:ascii="Titillium" w:hAnsi="Titillium" w:cs="Calibri"/>
          <w:sz w:val="18"/>
          <w:szCs w:val="18"/>
        </w:rPr>
        <w:t>dalla scadenza</w:t>
      </w:r>
      <w:r>
        <w:rPr>
          <w:rFonts w:ascii="Titillium" w:hAnsi="Titillium" w:cs="Calibri"/>
          <w:i/>
          <w:sz w:val="18"/>
          <w:szCs w:val="18"/>
        </w:rPr>
        <w:t xml:space="preserve"> </w:t>
      </w:r>
      <w:r>
        <w:rPr>
          <w:rFonts w:ascii="Titillium" w:hAnsi="Titillium" w:cs="Calibri"/>
          <w:sz w:val="18"/>
          <w:szCs w:val="18"/>
        </w:rPr>
        <w:t xml:space="preserve">del termine indicato per la presentazione dell’offerta. </w:t>
      </w:r>
    </w:p>
    <w:p w14:paraId="741C6E09" w14:textId="29B5512C" w:rsidR="004C53A8" w:rsidRDefault="00870286">
      <w:pPr>
        <w:spacing w:before="60" w:after="60"/>
        <w:rPr>
          <w:rFonts w:ascii="Titillium" w:hAnsi="Titillium" w:cs="Calibri"/>
          <w:sz w:val="18"/>
          <w:szCs w:val="18"/>
        </w:rPr>
      </w:pPr>
      <w:r>
        <w:rPr>
          <w:rFonts w:ascii="Titillium" w:hAnsi="Titillium" w:cs="Calibri"/>
          <w:sz w:val="18"/>
          <w:szCs w:val="18"/>
        </w:rPr>
        <w:t xml:space="preserve">Nel caso in cui alla data di scadenza della validità delle offerte le operazioni di gara siano ancora in corso, </w:t>
      </w:r>
      <w:r w:rsidR="00874EC4">
        <w:rPr>
          <w:rFonts w:ascii="Titillium" w:hAnsi="Titillium" w:cs="Calibri"/>
          <w:sz w:val="18"/>
          <w:szCs w:val="18"/>
        </w:rPr>
        <w:t xml:space="preserve">sarà richiesto </w:t>
      </w:r>
      <w:r>
        <w:rPr>
          <w:rFonts w:ascii="Titillium" w:hAnsi="Titillium" w:cs="Calibri"/>
          <w:sz w:val="18"/>
          <w:szCs w:val="18"/>
        </w:rPr>
        <w:t xml:space="preserve">agli offerenti di confermare la validità dell’offerta sino alla data indicata e di produrre un apposito documento attestante la validità della garanzia prestata in sede di gara fino alla medesima data. </w:t>
      </w:r>
    </w:p>
    <w:p w14:paraId="682B432E" w14:textId="05BDA127" w:rsidR="004C53A8" w:rsidRDefault="00870286">
      <w:pPr>
        <w:spacing w:before="60" w:after="60"/>
        <w:rPr>
          <w:rFonts w:ascii="Titillium" w:hAnsi="Titillium" w:cs="Calibri"/>
          <w:sz w:val="18"/>
          <w:szCs w:val="18"/>
        </w:rPr>
      </w:pPr>
      <w:r>
        <w:rPr>
          <w:rFonts w:ascii="Titillium" w:hAnsi="Titillium" w:cs="Calibri"/>
          <w:sz w:val="18"/>
          <w:szCs w:val="18"/>
        </w:rPr>
        <w:t xml:space="preserve">Il mancato riscontro alla richiesta della stazione appaltante entro il termine fissato da quest’ultima </w:t>
      </w:r>
      <w:r w:rsidR="001C08AC">
        <w:rPr>
          <w:rFonts w:ascii="Titillium" w:hAnsi="Titillium" w:cs="Calibri"/>
          <w:sz w:val="18"/>
          <w:szCs w:val="18"/>
        </w:rPr>
        <w:t>è</w:t>
      </w:r>
      <w:r w:rsidR="006B1E07">
        <w:rPr>
          <w:rFonts w:ascii="Titillium" w:hAnsi="Titillium" w:cs="Calibri"/>
          <w:sz w:val="18"/>
          <w:szCs w:val="18"/>
        </w:rPr>
        <w:t xml:space="preserve"> </w:t>
      </w:r>
      <w:r>
        <w:rPr>
          <w:rFonts w:ascii="Titillium" w:hAnsi="Titillium" w:cs="Calibri"/>
          <w:sz w:val="18"/>
          <w:szCs w:val="18"/>
        </w:rPr>
        <w:t>considerato come rinuncia del concorrente alla partecipazione alla gara.</w:t>
      </w:r>
    </w:p>
    <w:p w14:paraId="12636785" w14:textId="77777777" w:rsidR="004C53A8" w:rsidRDefault="00870286">
      <w:pPr>
        <w:pStyle w:val="Titolo2"/>
        <w:numPr>
          <w:ilvl w:val="0"/>
          <w:numId w:val="4"/>
        </w:numPr>
        <w:ind w:left="357" w:hanging="357"/>
        <w:rPr>
          <w:rFonts w:ascii="Titillium" w:hAnsi="Titillium"/>
          <w:sz w:val="18"/>
          <w:szCs w:val="18"/>
          <w:lang w:val="it-IT"/>
        </w:rPr>
      </w:pPr>
      <w:bookmarkStart w:id="1757" w:name="_Toc95495899"/>
      <w:r>
        <w:rPr>
          <w:rFonts w:ascii="Titillium" w:hAnsi="Titillium"/>
          <w:sz w:val="18"/>
          <w:szCs w:val="18"/>
          <w:lang w:val="it-IT"/>
        </w:rPr>
        <w:t>SOCCORSO ISTRUTTORIO</w:t>
      </w:r>
      <w:bookmarkEnd w:id="1757"/>
    </w:p>
    <w:p w14:paraId="24F5189C" w14:textId="77777777" w:rsidR="00622A3A" w:rsidRDefault="00622A3A" w:rsidP="00622A3A">
      <w:pPr>
        <w:spacing w:before="60" w:after="60"/>
      </w:pPr>
      <w:r>
        <w:rPr>
          <w:rFonts w:ascii="Titillium" w:hAnsi="Titillium"/>
          <w:sz w:val="18"/>
          <w:szCs w:val="18"/>
        </w:rPr>
        <w:t xml:space="preserve">Le carenze di qualsiasi elemento formale della domanda, e in particolare, la mancanza, l’incompletezza e ogni altra irregolarità essenziale degli elementi e del DGUE, con esclusione di quelle afferenti al contenuto sostanziale dell’offerta economica e dell’offerta tecnica, possono essere sanate attraverso la procedura di soccorso istruttorio di cui all’articolo 83, comma 9 del Codice. </w:t>
      </w:r>
    </w:p>
    <w:p w14:paraId="69BDD98F" w14:textId="77777777" w:rsidR="00622A3A" w:rsidRDefault="00622A3A" w:rsidP="00622A3A">
      <w:pPr>
        <w:spacing w:before="60" w:after="60"/>
      </w:pPr>
      <w:r>
        <w:rPr>
          <w:rFonts w:ascii="Titillium" w:hAnsi="Titillium"/>
          <w:sz w:val="18"/>
          <w:szCs w:val="18"/>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33502854" w14:textId="77777777" w:rsidR="00622A3A" w:rsidRPr="00711F6B" w:rsidRDefault="00622A3A" w:rsidP="00622A3A">
      <w:pPr>
        <w:pStyle w:val="Paragrafoelenco"/>
        <w:numPr>
          <w:ilvl w:val="0"/>
          <w:numId w:val="11"/>
        </w:numPr>
      </w:pPr>
      <w:r w:rsidRPr="00711F6B">
        <w:rPr>
          <w:rFonts w:ascii="Titillium" w:hAnsi="Titillium"/>
          <w:sz w:val="18"/>
          <w:szCs w:val="18"/>
        </w:rPr>
        <w:t>il mancato possesso dei prescritti requisiti di partecipazione non è sanabile mediante soccorso istruttorio ed è causa di esclusione dalla procedura di gara;</w:t>
      </w:r>
    </w:p>
    <w:p w14:paraId="2527EF24" w14:textId="77777777" w:rsidR="00622A3A" w:rsidRPr="000D49E9" w:rsidRDefault="00622A3A" w:rsidP="00622A3A">
      <w:pPr>
        <w:pStyle w:val="Paragrafoelenco"/>
        <w:numPr>
          <w:ilvl w:val="0"/>
          <w:numId w:val="11"/>
        </w:numPr>
        <w:spacing w:before="60" w:after="60"/>
        <w:rPr>
          <w:rFonts w:ascii="Titillium" w:hAnsi="Titillium"/>
          <w:sz w:val="18"/>
          <w:szCs w:val="18"/>
        </w:rPr>
      </w:pPr>
      <w:r w:rsidRPr="000D49E9">
        <w:rPr>
          <w:rFonts w:ascii="Titillium" w:hAnsi="Titillium"/>
          <w:sz w:val="18"/>
          <w:szCs w:val="18"/>
        </w:rPr>
        <w:t>l’omessa o incompleta nonché irregolare presentazione delle dichiarazioni sul possesso dei requisiti di partecipazione e ogni altra mancanza, incompletezza o irregolarità del DGUE e della domanda, sono sanabili, ad eccezione delle false dichiarazioni;</w:t>
      </w:r>
    </w:p>
    <w:p w14:paraId="080DFCA4" w14:textId="77777777" w:rsidR="00622A3A" w:rsidRDefault="00622A3A" w:rsidP="00622A3A">
      <w:pPr>
        <w:pStyle w:val="Paragrafoelenco"/>
        <w:numPr>
          <w:ilvl w:val="0"/>
          <w:numId w:val="11"/>
        </w:numPr>
        <w:spacing w:before="60" w:after="60"/>
      </w:pPr>
      <w:r>
        <w:rPr>
          <w:rFonts w:ascii="Titillium" w:hAnsi="Titillium"/>
          <w:sz w:val="18"/>
          <w:szCs w:val="18"/>
        </w:rPr>
        <w:t>la mancata produzione della dichiarazione di avvalimento o del contratto di avvalimento, può essere oggetto di soccorso istruttorio solo se i citati documenti sono preesistenti e comprovabili con elementi di data certa anteriore al termine di presentazione dell’offerta;</w:t>
      </w:r>
    </w:p>
    <w:p w14:paraId="1BA1DAC6" w14:textId="77777777" w:rsidR="00622A3A" w:rsidRPr="009F1861" w:rsidRDefault="00622A3A" w:rsidP="00622A3A">
      <w:pPr>
        <w:pStyle w:val="Paragrafoelenco"/>
        <w:numPr>
          <w:ilvl w:val="0"/>
          <w:numId w:val="11"/>
        </w:numPr>
        <w:spacing w:before="60" w:after="60"/>
        <w:rPr>
          <w:rFonts w:ascii="Titillium" w:hAnsi="Titillium"/>
          <w:sz w:val="18"/>
          <w:szCs w:val="18"/>
        </w:rPr>
      </w:pPr>
      <w:r w:rsidRPr="009F1861">
        <w:rPr>
          <w:rFonts w:ascii="Titillium" w:hAnsi="Titillium"/>
          <w:sz w:val="18"/>
          <w:szCs w:val="18"/>
        </w:rPr>
        <w:t>la mancata presentazione di elementi a corredo dell’offerta (per esempio garanzia provvisoria e impegno del fideiussore) ovvero di condizioni di partecipazione alla gara (per esempio mandato collettivo speciale o impegno a conferire mandato collettivo), aventi rilevanza in fase di gara, sono sanabili, solo se preesistenti e comprovabili con elementi di data certa anteriore al termine di presentazione dell’offerta;</w:t>
      </w:r>
    </w:p>
    <w:p w14:paraId="2B52A470" w14:textId="0D7DCFC6" w:rsidR="00622A3A" w:rsidRPr="00B419FD" w:rsidRDefault="00622A3A" w:rsidP="00622A3A">
      <w:pPr>
        <w:pStyle w:val="Paragrafoelenco"/>
        <w:numPr>
          <w:ilvl w:val="0"/>
          <w:numId w:val="11"/>
        </w:numPr>
        <w:spacing w:before="60" w:after="120"/>
        <w:rPr>
          <w:rFonts w:ascii="Titillium" w:hAnsi="Titillium" w:cs="Arial"/>
          <w:b/>
          <w:bCs/>
          <w:i/>
          <w:sz w:val="18"/>
          <w:szCs w:val="18"/>
        </w:rPr>
      </w:pPr>
      <w:r w:rsidRPr="00957F37">
        <w:rPr>
          <w:rFonts w:ascii="Titillium" w:hAnsi="Titillium"/>
          <w:sz w:val="18"/>
          <w:szCs w:val="18"/>
        </w:rPr>
        <w:t>il difetto di sottoscrizione della domanda di partecipazione, del DGUE, delle dichiarazioni richi</w:t>
      </w:r>
      <w:r>
        <w:rPr>
          <w:rFonts w:ascii="Titillium" w:hAnsi="Titillium"/>
          <w:sz w:val="18"/>
          <w:szCs w:val="18"/>
        </w:rPr>
        <w:t xml:space="preserve">este e dell’offerta è </w:t>
      </w:r>
      <w:r w:rsidRPr="00B419FD">
        <w:rPr>
          <w:rFonts w:ascii="Titillium" w:hAnsi="Titillium"/>
          <w:sz w:val="18"/>
          <w:szCs w:val="18"/>
        </w:rPr>
        <w:t>sanabile</w:t>
      </w:r>
      <w:r w:rsidR="00833FB4" w:rsidRPr="00B419FD">
        <w:rPr>
          <w:rFonts w:ascii="Titillium" w:hAnsi="Titillium"/>
          <w:sz w:val="18"/>
          <w:szCs w:val="18"/>
        </w:rPr>
        <w:t>;</w:t>
      </w:r>
    </w:p>
    <w:p w14:paraId="1C7B339B" w14:textId="77777777" w:rsidR="00622A3A" w:rsidRPr="00911118" w:rsidRDefault="00622A3A" w:rsidP="00CE61E8">
      <w:pPr>
        <w:spacing w:before="60" w:after="60"/>
        <w:rPr>
          <w:rFonts w:ascii="Titillium" w:hAnsi="Titillium"/>
          <w:color w:val="FF0000"/>
          <w:sz w:val="18"/>
          <w:szCs w:val="18"/>
        </w:rPr>
      </w:pPr>
      <w:r w:rsidRPr="00911118">
        <w:rPr>
          <w:rFonts w:ascii="Titillium" w:hAnsi="Titillium" w:cs="Arial"/>
          <w:b/>
          <w:i/>
          <w:color w:val="FF0000"/>
          <w:sz w:val="18"/>
          <w:szCs w:val="18"/>
        </w:rPr>
        <w:t>[</w:t>
      </w:r>
      <w:r w:rsidRPr="00911118">
        <w:rPr>
          <w:rFonts w:ascii="Titillium" w:hAnsi="Titillium" w:cs="Arial"/>
          <w:b/>
          <w:bCs/>
          <w:i/>
          <w:color w:val="FF0000"/>
          <w:sz w:val="18"/>
          <w:szCs w:val="18"/>
        </w:rPr>
        <w:t xml:space="preserve">Eventuale, in caso di procedure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911118">
        <w:rPr>
          <w:rFonts w:ascii="Titillium" w:hAnsi="Titillium" w:cs="Courier New"/>
          <w:b/>
          <w:i/>
          <w:color w:val="FF0000"/>
          <w:sz w:val="18"/>
          <w:szCs w:val="18"/>
        </w:rPr>
        <w:t>decreto legge 31 maggio 2021, n. 77, convertito, con modificazioni, dalla legge 29 luglio 2021, n. 108</w:t>
      </w:r>
      <w:r w:rsidRPr="00911118">
        <w:rPr>
          <w:rFonts w:ascii="Titillium" w:hAnsi="Titillium" w:cs="Arial"/>
          <w:b/>
          <w:bCs/>
          <w:i/>
          <w:color w:val="FF0000"/>
          <w:sz w:val="18"/>
          <w:szCs w:val="18"/>
        </w:rPr>
        <w:t xml:space="preserve">] </w:t>
      </w:r>
    </w:p>
    <w:p w14:paraId="783D20C0" w14:textId="2A19EFAC" w:rsidR="004F2FC5" w:rsidRDefault="004F2FC5" w:rsidP="00CE61E8">
      <w:pPr>
        <w:pStyle w:val="Paragrafoelenco"/>
        <w:numPr>
          <w:ilvl w:val="0"/>
          <w:numId w:val="11"/>
        </w:numPr>
        <w:spacing w:before="60" w:after="60"/>
        <w:rPr>
          <w:rFonts w:ascii="Titillium" w:hAnsi="Titillium"/>
          <w:color w:val="FF0000"/>
          <w:sz w:val="18"/>
          <w:szCs w:val="18"/>
        </w:rPr>
      </w:pPr>
      <w:r w:rsidRPr="004F2FC5">
        <w:rPr>
          <w:rFonts w:ascii="Titillium" w:hAnsi="Titillium"/>
          <w:color w:val="FF0000"/>
          <w:sz w:val="18"/>
          <w:szCs w:val="18"/>
        </w:rPr>
        <w:t>s</w:t>
      </w:r>
      <w:r w:rsidR="00833FB4" w:rsidRPr="004F2FC5">
        <w:rPr>
          <w:rFonts w:ascii="Titillium" w:hAnsi="Titillium"/>
          <w:color w:val="FF0000"/>
          <w:sz w:val="18"/>
          <w:szCs w:val="18"/>
        </w:rPr>
        <w:t xml:space="preserve">ono sanabili </w:t>
      </w:r>
      <w:r w:rsidR="00622A3A" w:rsidRPr="004F2FC5">
        <w:rPr>
          <w:rFonts w:ascii="Titillium" w:hAnsi="Titillium"/>
          <w:color w:val="FF0000"/>
          <w:sz w:val="18"/>
          <w:szCs w:val="18"/>
        </w:rPr>
        <w:t>l’omessa dichiarazion</w:t>
      </w:r>
      <w:r w:rsidR="000D49E9" w:rsidRPr="004F2FC5">
        <w:rPr>
          <w:rFonts w:ascii="Titillium" w:hAnsi="Titillium"/>
          <w:color w:val="FF0000"/>
          <w:sz w:val="18"/>
          <w:szCs w:val="18"/>
        </w:rPr>
        <w:t>e</w:t>
      </w:r>
      <w:r w:rsidR="00833FB4" w:rsidRPr="004F2FC5">
        <w:rPr>
          <w:rFonts w:ascii="Titillium" w:hAnsi="Titillium"/>
          <w:color w:val="FF0000"/>
          <w:sz w:val="18"/>
          <w:szCs w:val="18"/>
        </w:rPr>
        <w:t xml:space="preserve"> </w:t>
      </w:r>
      <w:r w:rsidR="000D49E9" w:rsidRPr="004F2FC5">
        <w:rPr>
          <w:rFonts w:ascii="Titillium" w:hAnsi="Titillium"/>
          <w:color w:val="FF0000"/>
          <w:sz w:val="18"/>
          <w:szCs w:val="18"/>
        </w:rPr>
        <w:t>sull’aver assolto agli obblighi di cui alla legge 68/1999</w:t>
      </w:r>
      <w:r w:rsidR="00E145A4" w:rsidRPr="004F2FC5">
        <w:rPr>
          <w:rFonts w:ascii="Titillium" w:hAnsi="Titillium"/>
          <w:color w:val="FF0000"/>
          <w:sz w:val="18"/>
          <w:szCs w:val="18"/>
        </w:rPr>
        <w:t xml:space="preserve"> </w:t>
      </w:r>
      <w:r w:rsidR="000B4A42">
        <w:rPr>
          <w:rFonts w:ascii="Titillium" w:hAnsi="Titillium"/>
          <w:color w:val="FF0000"/>
          <w:sz w:val="18"/>
          <w:szCs w:val="18"/>
        </w:rPr>
        <w:t>e,</w:t>
      </w:r>
      <w:r w:rsidR="00E145A4" w:rsidRPr="004F2FC5">
        <w:rPr>
          <w:rFonts w:ascii="Titillium" w:hAnsi="Titillium"/>
          <w:color w:val="FF0000"/>
          <w:sz w:val="18"/>
          <w:szCs w:val="18"/>
        </w:rPr>
        <w:t xml:space="preserve"> per i concorrenti che occupano oltre </w:t>
      </w:r>
      <w:r w:rsidRPr="004F2FC5">
        <w:rPr>
          <w:rFonts w:ascii="Titillium" w:hAnsi="Titillium"/>
          <w:color w:val="FF0000"/>
          <w:sz w:val="18"/>
          <w:szCs w:val="18"/>
        </w:rPr>
        <w:t>cinquanta</w:t>
      </w:r>
      <w:r w:rsidR="00E145A4" w:rsidRPr="004F2FC5">
        <w:rPr>
          <w:rFonts w:ascii="Titillium" w:hAnsi="Titillium"/>
          <w:color w:val="FF0000"/>
          <w:sz w:val="18"/>
          <w:szCs w:val="18"/>
        </w:rPr>
        <w:t xml:space="preserve"> dipendenti</w:t>
      </w:r>
      <w:r w:rsidR="005C15ED" w:rsidRPr="004F2FC5">
        <w:rPr>
          <w:rFonts w:ascii="Titillium" w:hAnsi="Titillium"/>
          <w:color w:val="FF0000"/>
          <w:sz w:val="18"/>
          <w:szCs w:val="18"/>
        </w:rPr>
        <w:t>,</w:t>
      </w:r>
      <w:r w:rsidR="00E145A4" w:rsidRPr="004F2FC5">
        <w:rPr>
          <w:rFonts w:ascii="Titillium" w:hAnsi="Titillium"/>
          <w:color w:val="FF0000"/>
          <w:sz w:val="18"/>
          <w:szCs w:val="18"/>
        </w:rPr>
        <w:t xml:space="preserve"> </w:t>
      </w:r>
      <w:r w:rsidR="00D203BA" w:rsidRPr="004F2FC5">
        <w:rPr>
          <w:rFonts w:ascii="Titillium" w:hAnsi="Titillium"/>
          <w:color w:val="FF0000"/>
          <w:sz w:val="18"/>
          <w:szCs w:val="18"/>
        </w:rPr>
        <w:t>l’omess</w:t>
      </w:r>
      <w:r w:rsidR="00E145A4" w:rsidRPr="004F2FC5">
        <w:rPr>
          <w:rFonts w:ascii="Titillium" w:hAnsi="Titillium"/>
          <w:color w:val="FF0000"/>
          <w:sz w:val="18"/>
          <w:szCs w:val="18"/>
        </w:rPr>
        <w:t xml:space="preserve">a presentazione di copia </w:t>
      </w:r>
      <w:r w:rsidR="00E145A4" w:rsidRPr="004F2FC5">
        <w:rPr>
          <w:rFonts w:ascii="Titillium" w:hAnsi="Titillium" w:cs="Courier New"/>
          <w:color w:val="FF0000"/>
          <w:sz w:val="18"/>
          <w:szCs w:val="18"/>
        </w:rPr>
        <w:t>dell’ultimo rapporto periodico sulla situazione del personale maschile e femminile</w:t>
      </w:r>
      <w:r w:rsidR="000B4A42">
        <w:rPr>
          <w:rFonts w:ascii="Titillium" w:hAnsi="Titillium" w:cs="Courier New"/>
          <w:color w:val="FF0000"/>
          <w:sz w:val="18"/>
          <w:szCs w:val="18"/>
        </w:rPr>
        <w:t>,</w:t>
      </w:r>
      <w:r w:rsidR="00E145A4" w:rsidRPr="004F2FC5">
        <w:rPr>
          <w:rFonts w:ascii="Titillium" w:hAnsi="Titillium" w:cs="Courier New"/>
          <w:color w:val="FF0000"/>
          <w:sz w:val="18"/>
          <w:szCs w:val="18"/>
        </w:rPr>
        <w:t xml:space="preserve"> redatto ai sensi dell’articolo 46 decr</w:t>
      </w:r>
      <w:r w:rsidR="000B4A42">
        <w:rPr>
          <w:rFonts w:ascii="Titillium" w:hAnsi="Titillium" w:cs="Courier New"/>
          <w:color w:val="FF0000"/>
          <w:sz w:val="18"/>
          <w:szCs w:val="18"/>
        </w:rPr>
        <w:t xml:space="preserve">eto legislativo n. 198 del 2006, e la trasmissione dello stesso alle rappresentanze sindacali e ai consiglieri regionali di parità; </w:t>
      </w:r>
    </w:p>
    <w:p w14:paraId="565EEB8B" w14:textId="7BE904FB" w:rsidR="009F1861" w:rsidRPr="004F2FC5" w:rsidRDefault="004F2FC5" w:rsidP="00CE61E8">
      <w:pPr>
        <w:pStyle w:val="Paragrafoelenco"/>
        <w:numPr>
          <w:ilvl w:val="0"/>
          <w:numId w:val="11"/>
        </w:numPr>
        <w:spacing w:before="60" w:after="60"/>
        <w:rPr>
          <w:rFonts w:ascii="Titillium" w:hAnsi="Titillium"/>
          <w:color w:val="FF0000"/>
          <w:sz w:val="18"/>
          <w:szCs w:val="18"/>
        </w:rPr>
      </w:pPr>
      <w:r>
        <w:rPr>
          <w:rFonts w:ascii="Titillium" w:hAnsi="Titillium"/>
          <w:color w:val="FF0000"/>
          <w:sz w:val="18"/>
          <w:szCs w:val="18"/>
        </w:rPr>
        <w:t>n</w:t>
      </w:r>
      <w:r w:rsidR="00833FB4" w:rsidRPr="004F2FC5">
        <w:rPr>
          <w:rFonts w:ascii="Titillium" w:hAnsi="Titillium"/>
          <w:color w:val="FF0000"/>
          <w:sz w:val="18"/>
          <w:szCs w:val="18"/>
        </w:rPr>
        <w:t xml:space="preserve">on è sanabile mediante soccorso istruttorio l’omessa dichiarazione sull’obbligo </w:t>
      </w:r>
      <w:r w:rsidR="009F1861" w:rsidRPr="004F2FC5">
        <w:rPr>
          <w:rFonts w:ascii="Titillium" w:hAnsi="Titillium"/>
          <w:color w:val="FF0000"/>
          <w:sz w:val="18"/>
          <w:szCs w:val="18"/>
        </w:rPr>
        <w:t xml:space="preserve">di assicurare, in caso di aggiudicazione del contratto, </w:t>
      </w:r>
      <w:r w:rsidR="00833FB4" w:rsidRPr="004F2FC5">
        <w:rPr>
          <w:rFonts w:ascii="Titillium" w:hAnsi="Titillium"/>
          <w:color w:val="FF0000"/>
          <w:sz w:val="18"/>
          <w:szCs w:val="18"/>
        </w:rPr>
        <w:t xml:space="preserve">l’assunzione di </w:t>
      </w:r>
      <w:r w:rsidR="009F1861" w:rsidRPr="004F2FC5">
        <w:rPr>
          <w:rFonts w:ascii="Titillium" w:hAnsi="Titillium"/>
          <w:color w:val="FF0000"/>
          <w:sz w:val="18"/>
          <w:szCs w:val="18"/>
        </w:rPr>
        <w:t xml:space="preserve">una quota </w:t>
      </w:r>
      <w:r w:rsidR="00833FB4" w:rsidRPr="004F2FC5">
        <w:rPr>
          <w:rFonts w:ascii="Titillium" w:hAnsi="Titillium"/>
          <w:color w:val="FF0000"/>
          <w:sz w:val="18"/>
          <w:szCs w:val="18"/>
        </w:rPr>
        <w:t xml:space="preserve">di </w:t>
      </w:r>
      <w:r w:rsidR="009F1861" w:rsidRPr="004F2FC5">
        <w:rPr>
          <w:rFonts w:ascii="Titillium" w:hAnsi="Titillium" w:cs="Arial"/>
          <w:color w:val="FF0000"/>
          <w:sz w:val="18"/>
          <w:szCs w:val="18"/>
        </w:rPr>
        <w:t xml:space="preserve">occupazione giovanile </w:t>
      </w:r>
      <w:r w:rsidR="00833FB4" w:rsidRPr="004F2FC5">
        <w:rPr>
          <w:rFonts w:ascii="Titillium" w:hAnsi="Titillium" w:cs="Arial"/>
          <w:color w:val="FF0000"/>
          <w:sz w:val="18"/>
          <w:szCs w:val="18"/>
        </w:rPr>
        <w:t>e</w:t>
      </w:r>
      <w:r w:rsidR="009F1861" w:rsidRPr="004F2FC5">
        <w:rPr>
          <w:rFonts w:ascii="Titillium" w:hAnsi="Titillium" w:cs="Arial"/>
          <w:color w:val="FF0000"/>
          <w:sz w:val="18"/>
          <w:szCs w:val="18"/>
        </w:rPr>
        <w:t xml:space="preserve"> femminile</w:t>
      </w:r>
      <w:r w:rsidR="00833FB4" w:rsidRPr="004F2FC5">
        <w:rPr>
          <w:rFonts w:ascii="Titillium" w:hAnsi="Titillium" w:cs="Arial"/>
          <w:color w:val="FF0000"/>
          <w:sz w:val="18"/>
          <w:szCs w:val="18"/>
        </w:rPr>
        <w:t xml:space="preserve"> di cui all’articolo 5</w:t>
      </w:r>
      <w:r w:rsidR="00E96D65" w:rsidRPr="004F2FC5">
        <w:rPr>
          <w:rFonts w:ascii="Titillium" w:hAnsi="Titillium" w:cs="Arial"/>
          <w:color w:val="FF0000"/>
          <w:sz w:val="18"/>
          <w:szCs w:val="18"/>
        </w:rPr>
        <w:t xml:space="preserve"> del presente bando</w:t>
      </w:r>
      <w:r>
        <w:rPr>
          <w:rFonts w:ascii="Titillium" w:hAnsi="Titillium"/>
          <w:color w:val="FF0000"/>
          <w:sz w:val="18"/>
          <w:szCs w:val="18"/>
        </w:rPr>
        <w:t>.</w:t>
      </w:r>
    </w:p>
    <w:p w14:paraId="6BD38C54" w14:textId="65B32437" w:rsidR="00622A3A" w:rsidRDefault="00622A3A" w:rsidP="00CE61E8">
      <w:pPr>
        <w:spacing w:before="60" w:after="60"/>
      </w:pPr>
      <w:r w:rsidRPr="00CE61E8">
        <w:rPr>
          <w:rFonts w:ascii="Titillium" w:hAnsi="Titillium"/>
          <w:sz w:val="18"/>
          <w:szCs w:val="18"/>
        </w:rPr>
        <w:t>Ai fini del soccorso istruttorio la stazione appaltante assegna al concorrente un congruo termine - non superiore a dieci</w:t>
      </w:r>
      <w:r w:rsidRPr="00CE61E8">
        <w:rPr>
          <w:rFonts w:ascii="Titillium" w:hAnsi="Titillium"/>
          <w:i/>
          <w:sz w:val="18"/>
          <w:szCs w:val="18"/>
        </w:rPr>
        <w:t xml:space="preserve"> </w:t>
      </w:r>
      <w:r w:rsidRPr="00CE61E8">
        <w:rPr>
          <w:rFonts w:ascii="Titillium" w:hAnsi="Titillium"/>
          <w:sz w:val="18"/>
          <w:szCs w:val="18"/>
        </w:rPr>
        <w:t xml:space="preserve">giorni - perché siano rese, integrate o regolarizzate le dichiarazioni necessarie, indicando il contenuto e i soggetti che le devono rendere nonché la sezione della Piattaforma dove deve essere inserita la documentazione richiesta. </w:t>
      </w:r>
    </w:p>
    <w:p w14:paraId="2DBB5486" w14:textId="77777777" w:rsidR="00622A3A" w:rsidRDefault="00622A3A" w:rsidP="00622A3A">
      <w:pPr>
        <w:spacing w:before="60" w:after="60"/>
      </w:pPr>
      <w:r>
        <w:rPr>
          <w:rFonts w:ascii="Titillium" w:hAnsi="Titillium"/>
          <w:sz w:val="18"/>
          <w:szCs w:val="18"/>
        </w:rPr>
        <w:t xml:space="preserve">In caso di inutile decorso del termine, la stazione appaltante </w:t>
      </w:r>
      <w:r w:rsidRPr="000C29CD">
        <w:rPr>
          <w:rFonts w:ascii="Titillium" w:hAnsi="Titillium"/>
          <w:sz w:val="18"/>
          <w:szCs w:val="18"/>
        </w:rPr>
        <w:t>procede all’esclusione del</w:t>
      </w:r>
      <w:r>
        <w:rPr>
          <w:rFonts w:ascii="Titillium" w:hAnsi="Titillium"/>
          <w:sz w:val="18"/>
          <w:szCs w:val="18"/>
        </w:rPr>
        <w:t xml:space="preserve"> concorrente dalla procedura.</w:t>
      </w:r>
    </w:p>
    <w:p w14:paraId="06A662A3" w14:textId="77777777" w:rsidR="00622A3A" w:rsidRDefault="00622A3A" w:rsidP="00622A3A">
      <w:pPr>
        <w:spacing w:before="60" w:after="60"/>
      </w:pPr>
      <w:r>
        <w:rPr>
          <w:rFonts w:ascii="Titillium" w:hAnsi="Titillium"/>
          <w:sz w:val="18"/>
          <w:szCs w:val="18"/>
        </w:rPr>
        <w:t xml:space="preserve">Ove il concorrente produca dichiarazioni o documenti non perfettamente coerenti con la richiesta, la stazione appaltante può chiedere </w:t>
      </w:r>
      <w:r w:rsidRPr="001C08AC">
        <w:rPr>
          <w:rFonts w:ascii="Titillium" w:hAnsi="Titillium"/>
          <w:sz w:val="18"/>
          <w:szCs w:val="18"/>
        </w:rPr>
        <w:t>ulteriori precisazioni o chiarimenti, limitate alla documentazione presentata in fase di soccorso istruttorio, fissando un termine a pena di esclusione.</w:t>
      </w:r>
    </w:p>
    <w:p w14:paraId="5D5AA837" w14:textId="7657B88F" w:rsidR="004C53A8" w:rsidRDefault="008D4D05">
      <w:pPr>
        <w:pStyle w:val="Titolo2"/>
        <w:numPr>
          <w:ilvl w:val="0"/>
          <w:numId w:val="4"/>
        </w:numPr>
        <w:ind w:left="357" w:hanging="357"/>
      </w:pPr>
      <w:bookmarkStart w:id="1758" w:name="_Toc95495900"/>
      <w:r>
        <w:rPr>
          <w:rFonts w:ascii="Titillium" w:hAnsi="Titillium"/>
          <w:sz w:val="18"/>
          <w:szCs w:val="18"/>
          <w:lang w:val="it-IT"/>
        </w:rPr>
        <w:t xml:space="preserve">DOMANDA DI PARTECIPAZIONe E </w:t>
      </w:r>
      <w:r w:rsidR="00870286">
        <w:rPr>
          <w:rFonts w:ascii="Titillium" w:hAnsi="Titillium"/>
          <w:sz w:val="18"/>
          <w:szCs w:val="18"/>
          <w:lang w:val="it-IT"/>
        </w:rPr>
        <w:t>DOCUMENTAZIONE AMMINISTRATIVA</w:t>
      </w:r>
      <w:bookmarkStart w:id="1759" w:name="_Ref481767076"/>
      <w:bookmarkStart w:id="1760" w:name="_Ref481767068"/>
      <w:bookmarkStart w:id="1761" w:name="_Toc354038186"/>
      <w:bookmarkStart w:id="1762" w:name="_Toc416423365"/>
      <w:bookmarkStart w:id="1763" w:name="_Toc406754180"/>
      <w:bookmarkStart w:id="1764" w:name="_Toc406058379"/>
      <w:bookmarkStart w:id="1765" w:name="_Toc403471273"/>
      <w:bookmarkStart w:id="1766" w:name="_Toc397422866"/>
      <w:bookmarkStart w:id="1767" w:name="_Toc397346825"/>
      <w:bookmarkStart w:id="1768" w:name="_Toc393706910"/>
      <w:bookmarkStart w:id="1769" w:name="_Toc393700837"/>
      <w:bookmarkStart w:id="1770" w:name="_Toc393283178"/>
      <w:bookmarkStart w:id="1771" w:name="_Toc393272662"/>
      <w:bookmarkStart w:id="1772" w:name="_Toc393272604"/>
      <w:bookmarkStart w:id="1773" w:name="_Toc393187848"/>
      <w:bookmarkStart w:id="1774" w:name="_Toc393112131"/>
      <w:bookmarkStart w:id="1775" w:name="_Toc393110567"/>
      <w:bookmarkStart w:id="1776" w:name="_Toc392577500"/>
      <w:bookmarkStart w:id="1777" w:name="_Toc391036059"/>
      <w:bookmarkStart w:id="1778" w:name="_Toc391035986"/>
      <w:bookmarkStart w:id="1779" w:name="_Toc380501873"/>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58"/>
    </w:p>
    <w:p w14:paraId="0C208C71" w14:textId="77777777" w:rsidR="00A2786D" w:rsidRDefault="00A2786D" w:rsidP="00A2786D">
      <w:pPr>
        <w:spacing w:before="60" w:after="60"/>
      </w:pPr>
      <w:r>
        <w:rPr>
          <w:rFonts w:ascii="Titillium" w:hAnsi="Titillium" w:cs="Calibri"/>
          <w:sz w:val="18"/>
          <w:szCs w:val="18"/>
        </w:rPr>
        <w:t xml:space="preserve">L’operatore economico inserisce </w:t>
      </w:r>
      <w:r>
        <w:rPr>
          <w:rFonts w:ascii="Titillium" w:hAnsi="Titillium" w:cs="Calibri"/>
          <w:i/>
          <w:sz w:val="18"/>
          <w:szCs w:val="18"/>
        </w:rPr>
        <w:t>[eventualmente: per ogni singolo lotto]</w:t>
      </w:r>
      <w:r>
        <w:rPr>
          <w:rFonts w:ascii="Titillium" w:hAnsi="Titillium" w:cs="Calibri"/>
          <w:sz w:val="18"/>
          <w:szCs w:val="18"/>
        </w:rPr>
        <w:t xml:space="preserve"> sulla Piattaforma … </w:t>
      </w:r>
      <w:r>
        <w:rPr>
          <w:rFonts w:ascii="Titillium" w:hAnsi="Titillium" w:cs="Calibri"/>
          <w:i/>
          <w:sz w:val="18"/>
          <w:szCs w:val="18"/>
        </w:rPr>
        <w:t>[la SA indica la Sezione/Area della Piattaforma]</w:t>
      </w:r>
      <w:r>
        <w:rPr>
          <w:rFonts w:ascii="Titillium" w:hAnsi="Titillium" w:cs="Calibri"/>
          <w:sz w:val="18"/>
          <w:szCs w:val="18"/>
        </w:rPr>
        <w:t xml:space="preserve"> la seguente documentazione:</w:t>
      </w:r>
    </w:p>
    <w:p w14:paraId="57B88259" w14:textId="77777777" w:rsidR="00A2786D" w:rsidRDefault="00A2786D" w:rsidP="00A2786D">
      <w:pPr>
        <w:pStyle w:val="Paragrafoelenco"/>
        <w:numPr>
          <w:ilvl w:val="0"/>
          <w:numId w:val="16"/>
        </w:numPr>
        <w:spacing w:before="60" w:after="60"/>
      </w:pPr>
      <w:r>
        <w:rPr>
          <w:rFonts w:ascii="Titillium" w:hAnsi="Titillium" w:cs="Calibri"/>
          <w:sz w:val="18"/>
          <w:szCs w:val="18"/>
        </w:rPr>
        <w:t>domanda di partecipazione ed eventuale procura;</w:t>
      </w:r>
    </w:p>
    <w:p w14:paraId="5C6D6C1E" w14:textId="77777777" w:rsidR="00A2786D" w:rsidRDefault="00A2786D" w:rsidP="00A2786D">
      <w:pPr>
        <w:pStyle w:val="Paragrafoelenco"/>
        <w:numPr>
          <w:ilvl w:val="0"/>
          <w:numId w:val="16"/>
        </w:numPr>
        <w:spacing w:before="60" w:after="60"/>
      </w:pPr>
      <w:r>
        <w:rPr>
          <w:rFonts w:ascii="Titillium" w:hAnsi="Titillium" w:cs="Calibri"/>
          <w:sz w:val="18"/>
          <w:szCs w:val="18"/>
        </w:rPr>
        <w:t xml:space="preserve">DGUE; </w:t>
      </w:r>
    </w:p>
    <w:p w14:paraId="6CD9A84B" w14:textId="77777777" w:rsidR="00A2786D" w:rsidRDefault="00A2786D" w:rsidP="00A2786D">
      <w:pPr>
        <w:pStyle w:val="Paragrafoelenco"/>
        <w:numPr>
          <w:ilvl w:val="0"/>
          <w:numId w:val="16"/>
        </w:numPr>
        <w:spacing w:before="60" w:after="60"/>
      </w:pPr>
      <w:r w:rsidRPr="00331144">
        <w:rPr>
          <w:rFonts w:ascii="Titillium" w:hAnsi="Titillium" w:cs="Calibri"/>
          <w:b/>
          <w:i/>
          <w:sz w:val="18"/>
          <w:szCs w:val="18"/>
        </w:rPr>
        <w:t>[</w:t>
      </w:r>
      <w:r w:rsidRPr="00331144">
        <w:rPr>
          <w:rFonts w:ascii="Titillium" w:hAnsi="Titillium" w:cs="Calibri"/>
          <w:b/>
          <w:bCs/>
          <w:i/>
          <w:iCs/>
          <w:sz w:val="18"/>
          <w:szCs w:val="18"/>
        </w:rPr>
        <w:t>Eventuale</w:t>
      </w:r>
      <w:r w:rsidRPr="00331144">
        <w:rPr>
          <w:rFonts w:ascii="Titillium" w:hAnsi="Titillium" w:cs="Calibri"/>
          <w:b/>
          <w:i/>
          <w:sz w:val="18"/>
          <w:szCs w:val="18"/>
        </w:rPr>
        <w:t>]</w:t>
      </w:r>
      <w:r>
        <w:rPr>
          <w:rFonts w:ascii="Titillium" w:hAnsi="Titillium" w:cs="Calibri"/>
          <w:sz w:val="18"/>
          <w:szCs w:val="18"/>
        </w:rPr>
        <w:t xml:space="preserve"> dichiarazione integrativa; </w:t>
      </w:r>
    </w:p>
    <w:p w14:paraId="751A2693" w14:textId="77777777" w:rsidR="00A2786D" w:rsidRDefault="00A2786D" w:rsidP="00A2786D">
      <w:pPr>
        <w:pStyle w:val="Paragrafoelenco"/>
        <w:numPr>
          <w:ilvl w:val="0"/>
          <w:numId w:val="16"/>
        </w:numPr>
        <w:spacing w:before="60" w:after="60"/>
      </w:pPr>
      <w:r>
        <w:rPr>
          <w:rFonts w:ascii="Titillium" w:hAnsi="Titillium"/>
          <w:sz w:val="18"/>
          <w:szCs w:val="18"/>
        </w:rPr>
        <w:t>garanzia provvisoria e dichiarazione di impegno di un fideiussore</w:t>
      </w:r>
      <w:r>
        <w:rPr>
          <w:rFonts w:ascii="Titillium" w:hAnsi="Titillium" w:cs="Calibri"/>
          <w:sz w:val="18"/>
          <w:szCs w:val="18"/>
        </w:rPr>
        <w:t>;</w:t>
      </w:r>
    </w:p>
    <w:p w14:paraId="0746D3CF" w14:textId="77777777" w:rsidR="00A2786D" w:rsidRPr="0006740A" w:rsidRDefault="00A2786D" w:rsidP="00A2786D">
      <w:pPr>
        <w:pStyle w:val="Paragrafoelenco"/>
        <w:numPr>
          <w:ilvl w:val="0"/>
          <w:numId w:val="16"/>
        </w:numPr>
        <w:spacing w:before="60" w:after="60"/>
      </w:pPr>
      <w:r w:rsidRPr="0006740A">
        <w:rPr>
          <w:rFonts w:ascii="Titillium" w:hAnsi="Titillium" w:cs="Calibri"/>
          <w:sz w:val="18"/>
          <w:szCs w:val="18"/>
        </w:rPr>
        <w:t xml:space="preserve">copia informatica della ricevuta di avvenuto pagamento del contributo all’ANAC </w:t>
      </w:r>
      <w:r w:rsidRPr="0006740A">
        <w:rPr>
          <w:rFonts w:ascii="Titillium" w:hAnsi="Titillium" w:cs="Calibri"/>
          <w:i/>
          <w:sz w:val="18"/>
          <w:szCs w:val="18"/>
        </w:rPr>
        <w:t>[se dovuto]</w:t>
      </w:r>
      <w:r w:rsidRPr="0006740A">
        <w:rPr>
          <w:rFonts w:ascii="Titillium" w:hAnsi="Titillium" w:cs="Calibri"/>
          <w:sz w:val="18"/>
          <w:szCs w:val="18"/>
        </w:rPr>
        <w:t>;</w:t>
      </w:r>
    </w:p>
    <w:p w14:paraId="43387029" w14:textId="77777777" w:rsidR="00A2786D" w:rsidRDefault="00A2786D" w:rsidP="00A2786D">
      <w:pPr>
        <w:pStyle w:val="Paragrafoelenco"/>
        <w:numPr>
          <w:ilvl w:val="0"/>
          <w:numId w:val="16"/>
        </w:numPr>
        <w:spacing w:before="60" w:after="60"/>
      </w:pPr>
      <w:r>
        <w:rPr>
          <w:rFonts w:ascii="Titillium" w:hAnsi="Titillium" w:cs="Calibri"/>
          <w:sz w:val="18"/>
          <w:szCs w:val="18"/>
        </w:rPr>
        <w:t xml:space="preserve">PASSoe, </w:t>
      </w:r>
      <w:r>
        <w:rPr>
          <w:rFonts w:ascii="Titillium" w:hAnsi="Titillium" w:cs="Calibri"/>
          <w:i/>
          <w:sz w:val="18"/>
          <w:szCs w:val="18"/>
        </w:rPr>
        <w:t>[solo se previsto il ricorso ad AVCpass]</w:t>
      </w:r>
      <w:r>
        <w:rPr>
          <w:rFonts w:ascii="Titillium" w:hAnsi="Titillium" w:cs="Calibri"/>
          <w:sz w:val="18"/>
          <w:szCs w:val="18"/>
        </w:rPr>
        <w:t>;</w:t>
      </w:r>
    </w:p>
    <w:p w14:paraId="6733A511" w14:textId="77777777" w:rsidR="00A2786D" w:rsidRDefault="00A2786D" w:rsidP="00A2786D">
      <w:pPr>
        <w:pStyle w:val="Paragrafoelenco"/>
        <w:numPr>
          <w:ilvl w:val="0"/>
          <w:numId w:val="16"/>
        </w:numPr>
        <w:spacing w:before="60" w:after="60"/>
        <w:rPr>
          <w:rFonts w:ascii="Titillium" w:hAnsi="Titillium" w:cs="Calibri"/>
          <w:sz w:val="18"/>
          <w:szCs w:val="18"/>
        </w:rPr>
      </w:pPr>
      <w:r>
        <w:rPr>
          <w:rFonts w:ascii="Titillium" w:hAnsi="Titillium" w:cs="Calibri"/>
          <w:sz w:val="18"/>
          <w:szCs w:val="18"/>
        </w:rPr>
        <w:t>documentazione in caso di avvalimento di cui al punto 14.4;</w:t>
      </w:r>
    </w:p>
    <w:p w14:paraId="435064A7" w14:textId="77777777" w:rsidR="00A2786D" w:rsidRDefault="00A2786D" w:rsidP="00A2786D">
      <w:pPr>
        <w:pStyle w:val="Paragrafoelenco"/>
        <w:numPr>
          <w:ilvl w:val="0"/>
          <w:numId w:val="16"/>
        </w:numPr>
        <w:spacing w:before="60" w:after="60"/>
      </w:pPr>
      <w:r>
        <w:rPr>
          <w:rFonts w:ascii="Titillium" w:hAnsi="Titillium" w:cs="Calibri"/>
          <w:sz w:val="18"/>
          <w:szCs w:val="18"/>
        </w:rPr>
        <w:t>documentazione per i soggetti associati di cui al punto 14.6;</w:t>
      </w:r>
    </w:p>
    <w:p w14:paraId="7E322E96" w14:textId="77777777" w:rsidR="00A2786D" w:rsidRPr="00A732F6" w:rsidRDefault="00A2786D" w:rsidP="00A2786D">
      <w:pPr>
        <w:pStyle w:val="Paragrafoelenco"/>
        <w:numPr>
          <w:ilvl w:val="0"/>
          <w:numId w:val="16"/>
        </w:numPr>
        <w:spacing w:before="60" w:after="60"/>
      </w:pPr>
      <w:r w:rsidRPr="00331144">
        <w:rPr>
          <w:rFonts w:ascii="Titillium" w:hAnsi="Titillium" w:cs="Calibri"/>
          <w:b/>
          <w:i/>
          <w:sz w:val="18"/>
          <w:szCs w:val="18"/>
        </w:rPr>
        <w:t>[</w:t>
      </w:r>
      <w:r w:rsidRPr="00331144">
        <w:rPr>
          <w:rFonts w:ascii="Titillium" w:hAnsi="Titillium" w:cs="Calibri"/>
          <w:b/>
          <w:bCs/>
          <w:i/>
          <w:iCs/>
          <w:sz w:val="18"/>
          <w:szCs w:val="18"/>
        </w:rPr>
        <w:t>Eventuale</w:t>
      </w:r>
      <w:r w:rsidRPr="00331144">
        <w:rPr>
          <w:rFonts w:ascii="Titillium" w:hAnsi="Titillium" w:cs="Calibri"/>
          <w:b/>
          <w:i/>
          <w:sz w:val="18"/>
          <w:szCs w:val="18"/>
        </w:rPr>
        <w:t>]</w:t>
      </w:r>
      <w:r>
        <w:rPr>
          <w:rFonts w:ascii="Titillium" w:hAnsi="Titillium" w:cs="Calibri"/>
          <w:sz w:val="18"/>
          <w:szCs w:val="18"/>
        </w:rPr>
        <w:t xml:space="preserve"> altro [</w:t>
      </w:r>
      <w:r>
        <w:rPr>
          <w:rFonts w:ascii="Titillium" w:hAnsi="Titillium" w:cs="Calibri"/>
          <w:i/>
          <w:iCs/>
          <w:sz w:val="18"/>
          <w:szCs w:val="18"/>
        </w:rPr>
        <w:t>indicare gli altri documenti previsti in relazione alla specificità dell’affidamento</w:t>
      </w:r>
      <w:r>
        <w:rPr>
          <w:rFonts w:ascii="Titillium" w:hAnsi="Titillium" w:cs="Calibri"/>
          <w:sz w:val="18"/>
          <w:szCs w:val="18"/>
        </w:rPr>
        <w:t>]</w:t>
      </w:r>
    </w:p>
    <w:p w14:paraId="66321B1D" w14:textId="58C37919" w:rsidR="00A2786D" w:rsidRPr="00A2786D" w:rsidRDefault="00A2786D" w:rsidP="00A2786D">
      <w:pPr>
        <w:spacing w:before="60" w:after="60" w:line="240" w:lineRule="auto"/>
        <w:ind w:left="360"/>
        <w:rPr>
          <w:rFonts w:ascii="Titillium" w:hAnsi="Titillium"/>
          <w:color w:val="474747"/>
          <w:sz w:val="18"/>
          <w:szCs w:val="18"/>
          <w:shd w:val="clear" w:color="auto" w:fill="FFFFFF"/>
        </w:rPr>
      </w:pPr>
      <w:r w:rsidRPr="00A2786D">
        <w:rPr>
          <w:rFonts w:ascii="Titillium" w:hAnsi="Titillium" w:cs="Arial"/>
          <w:b/>
          <w:bCs/>
          <w:i/>
          <w:color w:val="FF0000"/>
          <w:sz w:val="18"/>
          <w:szCs w:val="18"/>
        </w:rPr>
        <w:t xml:space="preserve">[Eventuale – per le procedure di gara afferenti </w:t>
      </w:r>
      <w:r w:rsidR="00E510F1">
        <w:rPr>
          <w:rFonts w:ascii="Titillium" w:hAnsi="Titillium" w:cs="Arial"/>
          <w:b/>
          <w:bCs/>
          <w:i/>
          <w:color w:val="FF0000"/>
          <w:sz w:val="18"/>
          <w:szCs w:val="18"/>
        </w:rPr>
        <w:t>a</w:t>
      </w:r>
      <w:r w:rsidRPr="00A2786D">
        <w:rPr>
          <w:rFonts w:ascii="Titillium" w:hAnsi="Titillium" w:cs="Arial"/>
          <w:b/>
          <w:bCs/>
          <w:i/>
          <w:color w:val="FF0000"/>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A2786D">
        <w:rPr>
          <w:rFonts w:ascii="Titillium" w:hAnsi="Titillium" w:cs="Courier New"/>
          <w:b/>
          <w:i/>
          <w:color w:val="FF0000"/>
          <w:sz w:val="18"/>
          <w:szCs w:val="18"/>
        </w:rPr>
        <w:t>decreto legge 31 maggio 2021, n. 77, convertito, con modificazioni, dalla legge 29 luglio 2021, n. 108</w:t>
      </w:r>
      <w:r w:rsidRPr="00A2786D">
        <w:rPr>
          <w:rFonts w:ascii="Titillium" w:hAnsi="Titillium" w:cs="Arial"/>
          <w:b/>
          <w:bCs/>
          <w:i/>
          <w:color w:val="FF0000"/>
          <w:sz w:val="18"/>
          <w:szCs w:val="18"/>
        </w:rPr>
        <w:t>]</w:t>
      </w:r>
    </w:p>
    <w:p w14:paraId="2B4713A9" w14:textId="2835AFE2" w:rsidR="00A2786D" w:rsidRPr="00CE61E8" w:rsidRDefault="00A2786D" w:rsidP="00CE61E8">
      <w:pPr>
        <w:pStyle w:val="Paragrafoelenco"/>
        <w:numPr>
          <w:ilvl w:val="0"/>
          <w:numId w:val="16"/>
        </w:numPr>
        <w:rPr>
          <w:rFonts w:ascii="Titillium" w:hAnsi="Titillium"/>
          <w:color w:val="474747"/>
          <w:sz w:val="18"/>
          <w:szCs w:val="18"/>
          <w:shd w:val="clear" w:color="auto" w:fill="FFFFFF"/>
        </w:rPr>
      </w:pPr>
      <w:r w:rsidRPr="00CE61E8">
        <w:rPr>
          <w:rFonts w:ascii="Titillium" w:hAnsi="Titillium" w:cs="Calibri"/>
          <w:color w:val="FF0000"/>
          <w:sz w:val="18"/>
          <w:szCs w:val="18"/>
        </w:rPr>
        <w:t>copia dell'ultimo rapporto sulla situazione del personale,</w:t>
      </w:r>
      <w:r w:rsidR="00E510F1" w:rsidRPr="00CE61E8">
        <w:rPr>
          <w:rFonts w:ascii="Titillium" w:hAnsi="Titillium" w:cs="Calibri"/>
          <w:color w:val="FF0000"/>
          <w:sz w:val="18"/>
          <w:szCs w:val="18"/>
        </w:rPr>
        <w:t xml:space="preserve"> redatto d</w:t>
      </w:r>
      <w:r w:rsidR="00E510F1" w:rsidRPr="00CE61E8">
        <w:rPr>
          <w:rFonts w:ascii="Titillium" w:hAnsi="Titillium"/>
          <w:color w:val="FF0000"/>
          <w:sz w:val="18"/>
          <w:szCs w:val="18"/>
        </w:rPr>
        <w:t>a</w:t>
      </w:r>
      <w:r w:rsidR="00E510F1" w:rsidRPr="00CE61E8">
        <w:rPr>
          <w:rFonts w:ascii="Titillium" w:hAnsi="Titillium" w:cs="Calibri"/>
          <w:color w:val="FF0000"/>
          <w:sz w:val="18"/>
          <w:szCs w:val="18"/>
        </w:rPr>
        <w:t xml:space="preserve">gli operatori economici che occupano oltre cinquanta dipendenti, </w:t>
      </w:r>
      <w:r w:rsidRPr="00CE61E8">
        <w:rPr>
          <w:rFonts w:ascii="Titillium" w:hAnsi="Titillium" w:cs="Calibri"/>
          <w:color w:val="FF0000"/>
          <w:sz w:val="18"/>
          <w:szCs w:val="18"/>
        </w:rPr>
        <w:t>ai sensi dell'</w:t>
      </w:r>
      <w:r w:rsidR="00895365" w:rsidRPr="00CE61E8">
        <w:rPr>
          <w:rFonts w:ascii="Titillium" w:hAnsi="Titillium" w:cs="Calibri"/>
          <w:color w:val="FF0000"/>
          <w:sz w:val="18"/>
          <w:szCs w:val="18"/>
        </w:rPr>
        <w:t xml:space="preserve">articolo </w:t>
      </w:r>
      <w:r w:rsidRPr="00CE61E8">
        <w:rPr>
          <w:rFonts w:ascii="Titillium" w:hAnsi="Titillium" w:cs="Calibri"/>
          <w:color w:val="FF0000"/>
          <w:sz w:val="18"/>
          <w:szCs w:val="18"/>
        </w:rPr>
        <w:t>46, comma 2, d</w:t>
      </w:r>
      <w:r w:rsidR="00E510F1" w:rsidRPr="00CE61E8">
        <w:rPr>
          <w:rFonts w:ascii="Titillium" w:hAnsi="Titillium" w:cs="Calibri"/>
          <w:color w:val="FF0000"/>
          <w:sz w:val="18"/>
          <w:szCs w:val="18"/>
        </w:rPr>
        <w:t>ecreto legislativo n.</w:t>
      </w:r>
      <w:r w:rsidRPr="00CE61E8">
        <w:rPr>
          <w:rFonts w:ascii="Titillium" w:hAnsi="Titillium" w:cs="Calibri"/>
          <w:color w:val="FF0000"/>
          <w:sz w:val="18"/>
          <w:szCs w:val="18"/>
        </w:rPr>
        <w:t xml:space="preserve"> 198/ 2006, con attestazione della sua conformità a quello eventualmente già trasmesso alle rappresentanze sindacali aziendali e ai consiglieri regionali di parità, ovvero, i</w:t>
      </w:r>
      <w:r w:rsidRPr="00CE61E8">
        <w:rPr>
          <w:rFonts w:ascii="Titillium" w:hAnsi="Titillium"/>
          <w:color w:val="FF0000"/>
          <w:sz w:val="18"/>
          <w:szCs w:val="18"/>
        </w:rPr>
        <w:t>n caso d’inosservanza dei termini previsti dall’</w:t>
      </w:r>
      <w:r w:rsidR="00895365" w:rsidRPr="00CE61E8">
        <w:rPr>
          <w:rFonts w:ascii="Titillium" w:hAnsi="Titillium"/>
          <w:color w:val="FF0000"/>
          <w:sz w:val="18"/>
          <w:szCs w:val="18"/>
        </w:rPr>
        <w:t xml:space="preserve">articolo </w:t>
      </w:r>
      <w:r w:rsidRPr="00CE61E8">
        <w:rPr>
          <w:rFonts w:ascii="Titillium" w:hAnsi="Titillium"/>
          <w:color w:val="FF0000"/>
          <w:sz w:val="18"/>
          <w:szCs w:val="18"/>
        </w:rPr>
        <w:t xml:space="preserve">46, comma 1, </w:t>
      </w:r>
      <w:r w:rsidR="00E510F1" w:rsidRPr="00CE61E8">
        <w:rPr>
          <w:rFonts w:ascii="Titillium" w:hAnsi="Titillium"/>
          <w:color w:val="FF0000"/>
          <w:sz w:val="18"/>
          <w:szCs w:val="18"/>
        </w:rPr>
        <w:t xml:space="preserve">decreto </w:t>
      </w:r>
      <w:r w:rsidR="00E510F1" w:rsidRPr="00CE61E8">
        <w:rPr>
          <w:rFonts w:ascii="Titillium" w:hAnsi="Titillium" w:cs="Calibri"/>
          <w:color w:val="FF0000"/>
          <w:sz w:val="18"/>
          <w:szCs w:val="18"/>
        </w:rPr>
        <w:t>legislativo n. 198/ 2006</w:t>
      </w:r>
      <w:r w:rsidRPr="00CE61E8">
        <w:rPr>
          <w:rFonts w:ascii="Titillium" w:hAnsi="Titillium"/>
          <w:color w:val="FF0000"/>
          <w:sz w:val="18"/>
          <w:szCs w:val="18"/>
        </w:rPr>
        <w:t>, con attestazione della sua contestuale trasmissione alle rappresentanze sindacali aziendali e alla consigliera e al consigliere regionale di parità (ai sensi dell’</w:t>
      </w:r>
      <w:r w:rsidR="00895365" w:rsidRPr="00CE61E8">
        <w:rPr>
          <w:rFonts w:ascii="Titillium" w:hAnsi="Titillium"/>
          <w:color w:val="FF0000"/>
          <w:sz w:val="18"/>
          <w:szCs w:val="18"/>
        </w:rPr>
        <w:t xml:space="preserve">articolo </w:t>
      </w:r>
      <w:r w:rsidRPr="00CE61E8">
        <w:rPr>
          <w:rFonts w:ascii="Titillium" w:hAnsi="Titillium"/>
          <w:color w:val="FF0000"/>
          <w:sz w:val="18"/>
          <w:szCs w:val="18"/>
        </w:rPr>
        <w:t xml:space="preserve">47, comma 2, </w:t>
      </w:r>
      <w:r w:rsidR="00895365" w:rsidRPr="00CE61E8">
        <w:rPr>
          <w:rFonts w:ascii="Titillium" w:hAnsi="Titillium"/>
          <w:color w:val="FF0000"/>
          <w:sz w:val="18"/>
          <w:szCs w:val="18"/>
        </w:rPr>
        <w:t xml:space="preserve">decreto legge </w:t>
      </w:r>
      <w:r w:rsidRPr="00CE61E8">
        <w:rPr>
          <w:rFonts w:ascii="Titillium" w:hAnsi="Titillium"/>
          <w:color w:val="FF0000"/>
          <w:sz w:val="18"/>
          <w:szCs w:val="18"/>
        </w:rPr>
        <w:t>77/2021</w:t>
      </w:r>
      <w:r w:rsidR="00E510F1" w:rsidRPr="00CE61E8">
        <w:rPr>
          <w:rFonts w:ascii="Titillium" w:hAnsi="Titillium"/>
          <w:color w:val="FF0000"/>
          <w:sz w:val="18"/>
          <w:szCs w:val="18"/>
        </w:rPr>
        <w:t>)</w:t>
      </w:r>
      <w:r w:rsidR="00E145A4" w:rsidRPr="00CE61E8">
        <w:rPr>
          <w:rFonts w:ascii="Titillium" w:hAnsi="Titillium"/>
          <w:color w:val="FF0000"/>
          <w:sz w:val="18"/>
          <w:szCs w:val="18"/>
        </w:rPr>
        <w:t>.</w:t>
      </w:r>
    </w:p>
    <w:tbl>
      <w:tblPr>
        <w:tblStyle w:val="Grigliatabella"/>
        <w:tblW w:w="0" w:type="auto"/>
        <w:tblLook w:val="04A0" w:firstRow="1" w:lastRow="0" w:firstColumn="1" w:lastColumn="0" w:noHBand="0" w:noVBand="1"/>
      </w:tblPr>
      <w:tblGrid>
        <w:gridCol w:w="9210"/>
      </w:tblGrid>
      <w:tr w:rsidR="001519F3" w14:paraId="74888689" w14:textId="77777777" w:rsidTr="00A2786D">
        <w:tc>
          <w:tcPr>
            <w:tcW w:w="9210" w:type="dxa"/>
            <w:shd w:val="clear" w:color="auto" w:fill="auto"/>
          </w:tcPr>
          <w:p w14:paraId="6B2138AF" w14:textId="0C57CF14" w:rsidR="001519F3" w:rsidRPr="00A2786D" w:rsidRDefault="001519F3" w:rsidP="00A664B8">
            <w:pPr>
              <w:spacing w:before="60" w:after="60"/>
              <w:rPr>
                <w:rFonts w:ascii="Titillium" w:hAnsi="Titillium" w:cs="Calibri"/>
                <w:strike/>
                <w:sz w:val="18"/>
                <w:szCs w:val="18"/>
              </w:rPr>
            </w:pPr>
            <w:r w:rsidRPr="00A2786D">
              <w:rPr>
                <w:rFonts w:ascii="Titillium" w:hAnsi="Titillium" w:cs="Arial"/>
                <w:i/>
                <w:strike/>
                <w:sz w:val="18"/>
                <w:szCs w:val="18"/>
              </w:rPr>
              <w:t xml:space="preserve">N.B:  In relazione alle procedure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Piano nazionale per gli investimenti complementari al PNRR, di cui all'articolo 1 del decreto-legge 6 maggio 2021, n. 59, e dai  programmi cofinanziati dai fondi strutturali dell’Unione Europea, le stazioni appaltanti inseriscono nei propri bandi di gara o negli avvisi o negli inviti, </w:t>
            </w:r>
            <w:r w:rsidR="00A664B8" w:rsidRPr="00A2786D">
              <w:rPr>
                <w:rFonts w:ascii="Titillium" w:hAnsi="Titillium" w:cs="Arial"/>
                <w:i/>
                <w:strike/>
                <w:sz w:val="18"/>
                <w:szCs w:val="18"/>
              </w:rPr>
              <w:t>la richiesta</w:t>
            </w:r>
            <w:r w:rsidRPr="00A2786D">
              <w:rPr>
                <w:rFonts w:ascii="Titillium" w:hAnsi="Titillium" w:cs="Arial"/>
                <w:i/>
                <w:strike/>
                <w:sz w:val="18"/>
                <w:szCs w:val="18"/>
              </w:rPr>
              <w:t xml:space="preserve">, ai sensi dell’articolo 47, comma 2, del decreto legge n. 77/21, </w:t>
            </w:r>
            <w:r w:rsidR="00A664B8" w:rsidRPr="00A2786D">
              <w:rPr>
                <w:rFonts w:ascii="Titillium" w:hAnsi="Titillium" w:cs="Calibri"/>
                <w:strike/>
                <w:sz w:val="18"/>
                <w:szCs w:val="18"/>
              </w:rPr>
              <w:t>dell'ultimo rapporto sulla situazione del personale redatto</w:t>
            </w:r>
            <w:r w:rsidRPr="00A2786D">
              <w:rPr>
                <w:rFonts w:ascii="Titillium" w:hAnsi="Titillium" w:cs="Arial"/>
                <w:i/>
                <w:strike/>
                <w:sz w:val="18"/>
                <w:szCs w:val="18"/>
              </w:rPr>
              <w:t xml:space="preserve">, secondo i modelli predisposti con linee guida di cui al citato articolo 47, comma 8. </w:t>
            </w:r>
          </w:p>
        </w:tc>
      </w:tr>
    </w:tbl>
    <w:p w14:paraId="113B8A6B" w14:textId="0BAB2710" w:rsidR="004C53A8" w:rsidRDefault="00870286">
      <w:pPr>
        <w:pStyle w:val="Titolo3"/>
        <w:numPr>
          <w:ilvl w:val="1"/>
          <w:numId w:val="4"/>
        </w:numPr>
        <w:ind w:left="426" w:hanging="426"/>
      </w:pPr>
      <w:bookmarkStart w:id="1780" w:name="_Toc497728162"/>
      <w:bookmarkStart w:id="1781" w:name="_Toc497484964"/>
      <w:bookmarkStart w:id="1782" w:name="_Toc498419754"/>
      <w:bookmarkStart w:id="1783" w:name="_Toc497831556"/>
      <w:bookmarkStart w:id="1784" w:name="_Toc497728161"/>
      <w:bookmarkStart w:id="1785" w:name="_Toc497484963"/>
      <w:bookmarkStart w:id="1786" w:name="_Toc498419755"/>
      <w:bookmarkStart w:id="1787" w:name="_Toc497831557"/>
      <w:bookmarkEnd w:id="1780"/>
      <w:bookmarkEnd w:id="1781"/>
      <w:bookmarkEnd w:id="1782"/>
      <w:bookmarkEnd w:id="1783"/>
      <w:bookmarkEnd w:id="1784"/>
      <w:bookmarkEnd w:id="1785"/>
      <w:bookmarkEnd w:id="1786"/>
      <w:bookmarkEnd w:id="1787"/>
      <w:r>
        <w:rPr>
          <w:rFonts w:ascii="Titillium" w:hAnsi="Titillium"/>
          <w:sz w:val="18"/>
          <w:szCs w:val="18"/>
          <w:lang w:val="it-IT"/>
        </w:rPr>
        <w:t xml:space="preserve"> </w:t>
      </w:r>
      <w:bookmarkStart w:id="1788" w:name="_Toc95495901"/>
      <w:r w:rsidR="004C667D">
        <w:rPr>
          <w:rFonts w:ascii="Titillium" w:hAnsi="Titillium"/>
          <w:caps w:val="0"/>
          <w:sz w:val="18"/>
          <w:szCs w:val="18"/>
          <w:lang w:val="it-IT"/>
        </w:rPr>
        <w:t>DOMANDA DI PARTECIPAZIONE ED EVENTUALE PROCURA</w:t>
      </w:r>
      <w:bookmarkEnd w:id="1788"/>
      <w:r w:rsidR="004C667D">
        <w:rPr>
          <w:rFonts w:ascii="Titillium" w:hAnsi="Titillium"/>
          <w:caps w:val="0"/>
          <w:sz w:val="18"/>
          <w:szCs w:val="18"/>
          <w:lang w:val="it-IT"/>
        </w:rPr>
        <w:t xml:space="preserve"> </w:t>
      </w:r>
    </w:p>
    <w:p w14:paraId="0F6EEAC7" w14:textId="38F80A56" w:rsidR="001B5A3D" w:rsidRPr="001B5A3D" w:rsidRDefault="00870286" w:rsidP="001B5A3D">
      <w:pPr>
        <w:spacing w:before="60" w:after="60"/>
      </w:pPr>
      <w:r>
        <w:rPr>
          <w:rFonts w:ascii="Titillium" w:hAnsi="Titillium" w:cs="Calibri"/>
          <w:sz w:val="18"/>
          <w:szCs w:val="18"/>
        </w:rPr>
        <w:t>La domanda di partecipazione è redatta secondo il modello di cui all’allegato n. ….</w:t>
      </w:r>
      <w:r w:rsidR="00C7509A" w:rsidRPr="00472411">
        <w:rPr>
          <w:rFonts w:ascii="Titillium" w:hAnsi="Titillium" w:cs="Calibri"/>
          <w:i/>
          <w:sz w:val="18"/>
          <w:szCs w:val="18"/>
        </w:rPr>
        <w:t xml:space="preserve"> [inserire]</w:t>
      </w:r>
      <w:r w:rsidR="00C7509A">
        <w:rPr>
          <w:rFonts w:ascii="Titillium" w:hAnsi="Titillium" w:cs="Calibri"/>
          <w:sz w:val="18"/>
          <w:szCs w:val="18"/>
        </w:rPr>
        <w:t>.</w:t>
      </w:r>
    </w:p>
    <w:p w14:paraId="585E94A2" w14:textId="47E8C74F" w:rsidR="00FC2E92" w:rsidRDefault="001B2459" w:rsidP="00FC2E92">
      <w:pPr>
        <w:spacing w:before="60" w:after="60"/>
      </w:pPr>
      <w:r>
        <w:rPr>
          <w:rFonts w:ascii="Titillium" w:hAnsi="Titillium" w:cs="Calibri"/>
          <w:sz w:val="18"/>
          <w:szCs w:val="18"/>
        </w:rPr>
        <w:t>Nella domanda di partecipazione, i</w:t>
      </w:r>
      <w:r w:rsidR="00870286">
        <w:rPr>
          <w:rFonts w:ascii="Titillium" w:hAnsi="Titillium" w:cs="Calibri"/>
          <w:sz w:val="18"/>
          <w:szCs w:val="18"/>
        </w:rPr>
        <w:t xml:space="preserve">l concorrente indica </w:t>
      </w:r>
      <w:r w:rsidR="00FC2E92">
        <w:rPr>
          <w:rFonts w:ascii="Titillium" w:hAnsi="Titillium" w:cs="Calibri"/>
          <w:sz w:val="18"/>
          <w:szCs w:val="18"/>
        </w:rPr>
        <w:t xml:space="preserve">i propri dati identificativi </w:t>
      </w:r>
      <w:r w:rsidR="00FC2E92">
        <w:rPr>
          <w:rFonts w:ascii="Titillium" w:hAnsi="Titillium" w:cs="Calibri"/>
          <w:sz w:val="18"/>
          <w:szCs w:val="18"/>
          <w:lang w:eastAsia="it-IT"/>
        </w:rPr>
        <w:t>(ragione sociale, codice fiscale, sede)</w:t>
      </w:r>
      <w:r w:rsidR="00FC2E92">
        <w:rPr>
          <w:rFonts w:ascii="Titillium" w:hAnsi="Titillium" w:cs="Calibri"/>
          <w:sz w:val="18"/>
          <w:szCs w:val="18"/>
        </w:rPr>
        <w:t xml:space="preserve">, </w:t>
      </w:r>
      <w:r w:rsidR="00870286">
        <w:rPr>
          <w:rFonts w:ascii="Titillium" w:hAnsi="Titillium" w:cs="Calibri"/>
          <w:sz w:val="18"/>
          <w:szCs w:val="18"/>
        </w:rPr>
        <w:t>la forma singola o associata con la quale partecipa alla gara</w:t>
      </w:r>
      <w:r w:rsidR="00FC2E92">
        <w:rPr>
          <w:rFonts w:ascii="Titillium" w:hAnsi="Titillium" w:cs="Calibri"/>
          <w:sz w:val="18"/>
          <w:szCs w:val="18"/>
        </w:rPr>
        <w:t xml:space="preserve"> e il CCNL applicato con l’indicazione del relativo codice alfanumerico </w:t>
      </w:r>
      <w:r w:rsidR="00854EB1">
        <w:rPr>
          <w:rFonts w:ascii="Titillium" w:hAnsi="Titillium" w:cs="Calibri"/>
          <w:sz w:val="18"/>
          <w:szCs w:val="18"/>
        </w:rPr>
        <w:t xml:space="preserve">unico </w:t>
      </w:r>
      <w:r w:rsidR="00FC2E92">
        <w:rPr>
          <w:rFonts w:ascii="Titillium" w:hAnsi="Titillium" w:cs="Calibri"/>
          <w:sz w:val="18"/>
          <w:szCs w:val="18"/>
        </w:rPr>
        <w:t>di cui all’articolo 16 quater del decreto legge n. 76/20</w:t>
      </w:r>
      <w:r w:rsidR="00870286">
        <w:rPr>
          <w:rFonts w:ascii="Titillium" w:hAnsi="Titillium" w:cs="Calibri"/>
          <w:sz w:val="18"/>
          <w:szCs w:val="18"/>
        </w:rPr>
        <w:t>.</w:t>
      </w:r>
      <w:r w:rsidR="00FC2E92" w:rsidRPr="00FC2E92">
        <w:t xml:space="preserve"> </w:t>
      </w:r>
    </w:p>
    <w:p w14:paraId="53D36E4A" w14:textId="76B7C94B" w:rsidR="004C53A8" w:rsidRPr="00FC2E92" w:rsidRDefault="00FC2E92" w:rsidP="00FC2E92">
      <w:pPr>
        <w:spacing w:before="60" w:after="60"/>
        <w:rPr>
          <w:rFonts w:ascii="Titillium" w:hAnsi="Titillium" w:cs="Calibri"/>
          <w:sz w:val="18"/>
          <w:szCs w:val="18"/>
        </w:rPr>
      </w:pPr>
      <w:r w:rsidRPr="00FC2E92">
        <w:rPr>
          <w:rFonts w:ascii="Titillium" w:hAnsi="Titillium" w:cs="Calibri"/>
          <w:b/>
          <w:i/>
          <w:sz w:val="18"/>
          <w:szCs w:val="18"/>
        </w:rPr>
        <w:t>[Eventuale in caso di suddivisione della gara in lotti]</w:t>
      </w:r>
      <w:r w:rsidRPr="00FC2E92">
        <w:rPr>
          <w:rFonts w:ascii="Titillium" w:hAnsi="Titillium" w:cs="Calibri"/>
          <w:i/>
          <w:sz w:val="18"/>
          <w:szCs w:val="18"/>
        </w:rPr>
        <w:t xml:space="preserve"> </w:t>
      </w:r>
      <w:r w:rsidRPr="00FC2E92">
        <w:rPr>
          <w:rFonts w:ascii="Titillium" w:hAnsi="Titillium" w:cs="Calibri"/>
          <w:sz w:val="18"/>
          <w:szCs w:val="18"/>
        </w:rPr>
        <w:t>Il concorrente indica nella domanda di partecipazione per quale lotto concorre.</w:t>
      </w:r>
    </w:p>
    <w:p w14:paraId="713B0118" w14:textId="696AA875" w:rsidR="004C53A8" w:rsidRDefault="00870286">
      <w:pPr>
        <w:spacing w:before="60" w:after="60"/>
      </w:pPr>
      <w:r>
        <w:rPr>
          <w:rFonts w:ascii="Titillium" w:hAnsi="Titillium" w:cs="Calibri"/>
          <w:sz w:val="18"/>
          <w:szCs w:val="18"/>
        </w:rPr>
        <w:t xml:space="preserve">In caso di partecipazione in raggruppamento temporaneo di imprese, consorzio ordinario, aggregazione di retisti, GEIE, il concorrente fornisce i dati identificativi </w:t>
      </w:r>
      <w:r>
        <w:rPr>
          <w:rFonts w:ascii="Titillium" w:hAnsi="Titillium" w:cs="Calibri"/>
          <w:sz w:val="18"/>
          <w:szCs w:val="18"/>
          <w:lang w:eastAsia="it-IT"/>
        </w:rPr>
        <w:t>(ragione sociale, codice fiscale, sede)</w:t>
      </w:r>
      <w:r>
        <w:rPr>
          <w:rFonts w:ascii="Titillium" w:hAnsi="Titillium" w:cs="Calibri"/>
          <w:sz w:val="18"/>
          <w:szCs w:val="18"/>
        </w:rPr>
        <w:t xml:space="preserve"> e il ruolo</w:t>
      </w:r>
      <w:r>
        <w:rPr>
          <w:rFonts w:ascii="Titillium" w:hAnsi="Titillium" w:cs="Calibri"/>
          <w:sz w:val="18"/>
          <w:szCs w:val="18"/>
          <w:lang w:eastAsia="it-IT"/>
        </w:rPr>
        <w:t xml:space="preserve"> di ciascuna impresa (mandataria/mandante; capofila/consorziata).</w:t>
      </w:r>
    </w:p>
    <w:p w14:paraId="7FA5EB5A" w14:textId="7691CA4B" w:rsidR="004C53A8" w:rsidRDefault="00870286">
      <w:pPr>
        <w:spacing w:before="60" w:after="60"/>
      </w:pPr>
      <w:r>
        <w:rPr>
          <w:rFonts w:ascii="Titillium" w:hAnsi="Titillium" w:cs="Arial"/>
          <w:sz w:val="18"/>
          <w:szCs w:val="18"/>
        </w:rPr>
        <w:t>Nel</w:t>
      </w:r>
      <w:r>
        <w:rPr>
          <w:rFonts w:ascii="Titillium" w:hAnsi="Titillium" w:cs="Calibri"/>
          <w:sz w:val="18"/>
          <w:szCs w:val="18"/>
          <w:lang w:eastAsia="it-IT"/>
        </w:rPr>
        <w:t xml:space="preserve"> caso di consorzio di cooperative e imprese artigiane o di consorzio stabile di cui all’articolo 45, comma 2 lettera b) e c) del Codice, il consorzio indica il consorziato per il quale concorre alla gara; qualora il consorziato designato sia, a sua volta, un consorzio di cui all’articolo 45, comma 2, lettera b) del Codice, esso deve indicare il consorziato o i consorziati per il quale o per i quali concorre</w:t>
      </w:r>
      <w:r w:rsidR="001B2459">
        <w:rPr>
          <w:rFonts w:ascii="Titillium" w:hAnsi="Titillium" w:cs="Calibri"/>
          <w:sz w:val="18"/>
          <w:szCs w:val="18"/>
          <w:lang w:eastAsia="it-IT"/>
        </w:rPr>
        <w:t>, in assenza di tale dichiarazione</w:t>
      </w:r>
      <w:r>
        <w:rPr>
          <w:rFonts w:ascii="Titillium" w:hAnsi="Titillium" w:cs="Calibri"/>
          <w:sz w:val="18"/>
          <w:szCs w:val="18"/>
          <w:lang w:eastAsia="it-IT"/>
        </w:rPr>
        <w:t xml:space="preserve"> si intende che lo stesso partecipa in nome e per conto proprio .</w:t>
      </w:r>
    </w:p>
    <w:p w14:paraId="361682F3" w14:textId="77777777" w:rsidR="0055228C" w:rsidRDefault="0055228C" w:rsidP="0055228C">
      <w:pPr>
        <w:spacing w:before="60" w:after="60"/>
      </w:pPr>
      <w:bookmarkStart w:id="1789" w:name="_Toc4164233711"/>
      <w:bookmarkStart w:id="1790" w:name="_Toc4067541881"/>
      <w:bookmarkStart w:id="1791" w:name="_Toc4060583871"/>
      <w:bookmarkStart w:id="1792" w:name="_Toc4034712791"/>
      <w:bookmarkStart w:id="1793" w:name="_Toc3974228721"/>
      <w:bookmarkStart w:id="1794" w:name="_Toc3973468311"/>
      <w:bookmarkStart w:id="1795" w:name="_Toc3937069161"/>
      <w:bookmarkStart w:id="1796" w:name="_Toc3937008431"/>
      <w:bookmarkStart w:id="1797" w:name="_Toc3932831841"/>
      <w:bookmarkStart w:id="1798" w:name="_Toc3932726681"/>
      <w:bookmarkStart w:id="1799" w:name="_Toc3932726101"/>
      <w:bookmarkStart w:id="1800" w:name="_Toc3931878541"/>
      <w:bookmarkStart w:id="1801" w:name="_Toc3931121371"/>
      <w:bookmarkStart w:id="1802" w:name="_Toc3931105731"/>
      <w:bookmarkStart w:id="1803" w:name="_Toc3925775061"/>
      <w:bookmarkStart w:id="1804" w:name="_Toc3910360651"/>
      <w:bookmarkStart w:id="1805" w:name="_Toc3910359921"/>
      <w:bookmarkStart w:id="1806" w:name="_Toc3805018791"/>
      <w:bookmarkStart w:id="1807" w:name="_Toc609251781"/>
      <w:bookmarkStart w:id="1808" w:name="_Ref4984219821"/>
      <w:bookmarkStart w:id="1809" w:name="_Toc484688330"/>
      <w:bookmarkStart w:id="1810" w:name="_Toc484605461"/>
      <w:bookmarkStart w:id="1811" w:name="_Toc484605337"/>
      <w:bookmarkStart w:id="1812" w:name="_Toc484526617"/>
      <w:bookmarkStart w:id="1813" w:name="_Toc484449122"/>
      <w:bookmarkStart w:id="1814" w:name="_Toc484448998"/>
      <w:bookmarkStart w:id="1815" w:name="_Toc484448874"/>
      <w:bookmarkStart w:id="1816" w:name="_Toc484448751"/>
      <w:bookmarkStart w:id="1817" w:name="_Toc484448627"/>
      <w:bookmarkStart w:id="1818" w:name="_Toc484448503"/>
      <w:bookmarkStart w:id="1819" w:name="_Toc484448379"/>
      <w:bookmarkStart w:id="1820" w:name="_Toc484448255"/>
      <w:bookmarkStart w:id="1821" w:name="_Toc484448130"/>
      <w:bookmarkStart w:id="1822" w:name="_Toc484440471"/>
      <w:bookmarkStart w:id="1823" w:name="_Toc484440111"/>
      <w:bookmarkStart w:id="1824" w:name="_Toc484439987"/>
      <w:bookmarkStart w:id="1825" w:name="_Toc484439864"/>
      <w:bookmarkStart w:id="1826" w:name="_Toc484438944"/>
      <w:bookmarkStart w:id="1827" w:name="_Toc484438820"/>
      <w:bookmarkStart w:id="1828" w:name="_Toc484438696"/>
      <w:bookmarkStart w:id="1829" w:name="_Toc484429121"/>
      <w:bookmarkStart w:id="1830" w:name="_Toc484428951"/>
      <w:bookmarkStart w:id="1831" w:name="_Toc484097779"/>
      <w:bookmarkStart w:id="1832" w:name="_Toc484011705"/>
      <w:bookmarkStart w:id="1833" w:name="_Toc484011230"/>
      <w:bookmarkStart w:id="1834" w:name="_Toc484011108"/>
      <w:bookmarkStart w:id="1835" w:name="_Toc484010986"/>
      <w:bookmarkStart w:id="1836" w:name="_Toc484010862"/>
      <w:bookmarkStart w:id="1837" w:name="_Toc484010740"/>
      <w:bookmarkStart w:id="1838" w:name="_Toc483906990"/>
      <w:bookmarkStart w:id="1839" w:name="_Toc483571613"/>
      <w:bookmarkStart w:id="1840" w:name="_Toc483571492"/>
      <w:bookmarkStart w:id="1841" w:name="_Toc483474063"/>
      <w:bookmarkStart w:id="1842" w:name="_Toc483401266"/>
      <w:bookmarkStart w:id="1843" w:name="_Toc483325787"/>
      <w:bookmarkStart w:id="1844" w:name="_Toc483316484"/>
      <w:bookmarkStart w:id="1845" w:name="_Toc483316353"/>
      <w:bookmarkStart w:id="1846" w:name="_Toc483316221"/>
      <w:bookmarkStart w:id="1847" w:name="_Toc483316016"/>
      <w:bookmarkStart w:id="1848" w:name="_Toc483302395"/>
      <w:bookmarkStart w:id="1849" w:name="_Toc485218321"/>
      <w:bookmarkStart w:id="1850" w:name="_Toc484688885"/>
      <w:bookmarkStart w:id="1851" w:name="_Ref484611693"/>
      <w:bookmarkStart w:id="1852" w:name="_Ref484611690"/>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r w:rsidRPr="00C13CB4">
        <w:rPr>
          <w:rFonts w:ascii="Titillium" w:hAnsi="Titillium" w:cs="Calibri"/>
          <w:sz w:val="18"/>
          <w:szCs w:val="18"/>
          <w:lang w:eastAsia="it-IT"/>
        </w:rPr>
        <w:t>Nella domanda di partecipazione [</w:t>
      </w:r>
      <w:r w:rsidRPr="00C13CB4">
        <w:rPr>
          <w:rFonts w:ascii="Titillium" w:hAnsi="Titillium" w:cs="Calibri"/>
          <w:i/>
          <w:sz w:val="18"/>
          <w:szCs w:val="18"/>
          <w:lang w:eastAsia="it-IT"/>
        </w:rPr>
        <w:t>o in alternativa, nella dichiarazione integrativa</w:t>
      </w:r>
      <w:r w:rsidRPr="00C13CB4">
        <w:rPr>
          <w:rFonts w:ascii="Titillium" w:hAnsi="Titillium" w:cs="Calibri"/>
          <w:sz w:val="18"/>
          <w:szCs w:val="18"/>
          <w:lang w:eastAsia="it-IT"/>
        </w:rPr>
        <w:t>] il concorrente dichiara:</w:t>
      </w:r>
    </w:p>
    <w:p w14:paraId="18AA8337" w14:textId="77777777" w:rsidR="0055228C" w:rsidRDefault="0055228C" w:rsidP="0055228C">
      <w:pPr>
        <w:pStyle w:val="Paragrafoelenco"/>
        <w:numPr>
          <w:ilvl w:val="0"/>
          <w:numId w:val="25"/>
        </w:numPr>
        <w:spacing w:before="60" w:after="60"/>
      </w:pPr>
      <w:r>
        <w:rPr>
          <w:rFonts w:ascii="Titillium" w:hAnsi="Titillium" w:cs="Calibri"/>
          <w:sz w:val="18"/>
          <w:szCs w:val="18"/>
        </w:rPr>
        <w:t>i dati identificativi (nome, cognome, data e luogo di nascita, codice fiscale, comune di residenza etc.) dei soggetti di cui all’articolo 80, comma 3 del Codice, ovvero indica la banca dati ufficiale o il pubblico registro da cui i medesimi possono essere ricavati in modo aggiornato alla data di presentazione dell’offerta;</w:t>
      </w:r>
    </w:p>
    <w:p w14:paraId="60788DC6" w14:textId="77777777" w:rsidR="0055228C" w:rsidRDefault="0055228C" w:rsidP="0055228C">
      <w:pPr>
        <w:pStyle w:val="Paragrafoelenco"/>
        <w:numPr>
          <w:ilvl w:val="0"/>
          <w:numId w:val="25"/>
        </w:numPr>
        <w:spacing w:before="60" w:after="60"/>
      </w:pPr>
      <w:r>
        <w:rPr>
          <w:rFonts w:ascii="Titillium" w:hAnsi="Titillium" w:cs="Calibri"/>
          <w:sz w:val="18"/>
          <w:szCs w:val="18"/>
        </w:rPr>
        <w:t>di non partecipare alla medesima gara in altra forma singola o associata, né come ausiliaria per altro concorrente;</w:t>
      </w:r>
    </w:p>
    <w:p w14:paraId="0BE3D8FF" w14:textId="50218373" w:rsidR="0055228C" w:rsidRPr="00E96D65" w:rsidRDefault="0055228C" w:rsidP="0055228C">
      <w:pPr>
        <w:pStyle w:val="Paragrafoelenco"/>
        <w:numPr>
          <w:ilvl w:val="0"/>
          <w:numId w:val="25"/>
        </w:numPr>
        <w:spacing w:before="60" w:after="60"/>
      </w:pPr>
      <w:r>
        <w:rPr>
          <w:rFonts w:ascii="Titillium" w:hAnsi="Titillium"/>
          <w:sz w:val="18"/>
          <w:szCs w:val="18"/>
        </w:rPr>
        <w:t>di accettare, senza condizione o riserva alcuna, tutte le norme e disposizioni contenute nella documentazione gara</w:t>
      </w:r>
      <w:r>
        <w:rPr>
          <w:rFonts w:ascii="Titillium" w:hAnsi="Titillium" w:cs="Calibri"/>
          <w:sz w:val="18"/>
          <w:szCs w:val="18"/>
        </w:rPr>
        <w:t xml:space="preserve">, </w:t>
      </w:r>
      <w:r w:rsidRPr="00F70887">
        <w:rPr>
          <w:rFonts w:ascii="Titillium" w:hAnsi="Titillium" w:cs="Calibri"/>
          <w:b/>
          <w:i/>
          <w:sz w:val="18"/>
          <w:szCs w:val="18"/>
        </w:rPr>
        <w:t>[</w:t>
      </w:r>
      <w:r w:rsidRPr="008866EE">
        <w:rPr>
          <w:rFonts w:ascii="Titillium" w:hAnsi="Titillium" w:cs="Calibri"/>
          <w:b/>
          <w:i/>
          <w:sz w:val="18"/>
          <w:szCs w:val="18"/>
        </w:rPr>
        <w:t>facoltativo nel caso di vigenza di un decreto CAM</w:t>
      </w:r>
      <w:r w:rsidRPr="00F70887">
        <w:rPr>
          <w:rFonts w:ascii="Titillium" w:hAnsi="Titillium" w:cs="Calibri"/>
          <w:b/>
          <w:i/>
          <w:sz w:val="18"/>
          <w:szCs w:val="18"/>
        </w:rPr>
        <w:t>]</w:t>
      </w:r>
      <w:r>
        <w:rPr>
          <w:rFonts w:ascii="Titillium" w:hAnsi="Titillium" w:cs="Calibri"/>
          <w:sz w:val="18"/>
          <w:szCs w:val="18"/>
        </w:rPr>
        <w:t xml:space="preserve"> inclusi i criteri ambientali minimi di cui al decreto … [</w:t>
      </w:r>
      <w:r>
        <w:rPr>
          <w:rFonts w:ascii="Titillium" w:hAnsi="Titillium" w:cs="Calibri"/>
          <w:i/>
          <w:sz w:val="18"/>
          <w:szCs w:val="18"/>
        </w:rPr>
        <w:t>la stazione appaltante indica il riferimento al decreto</w:t>
      </w:r>
      <w:r>
        <w:rPr>
          <w:rFonts w:ascii="Titillium" w:hAnsi="Titillium" w:cs="Calibri"/>
          <w:sz w:val="18"/>
          <w:szCs w:val="18"/>
        </w:rPr>
        <w:t>];</w:t>
      </w:r>
    </w:p>
    <w:p w14:paraId="5396E75E" w14:textId="77777777" w:rsidR="00507049" w:rsidRPr="00A2786D" w:rsidRDefault="00507049" w:rsidP="00CE61E8">
      <w:pPr>
        <w:spacing w:before="60" w:after="60" w:line="240" w:lineRule="auto"/>
        <w:rPr>
          <w:rFonts w:ascii="Titillium" w:hAnsi="Titillium"/>
          <w:color w:val="474747"/>
          <w:sz w:val="18"/>
          <w:szCs w:val="18"/>
          <w:shd w:val="clear" w:color="auto" w:fill="FFFFFF"/>
        </w:rPr>
      </w:pPr>
      <w:r w:rsidRPr="00A2786D">
        <w:rPr>
          <w:rFonts w:ascii="Titillium" w:hAnsi="Titillium" w:cs="Arial"/>
          <w:b/>
          <w:bCs/>
          <w:i/>
          <w:color w:val="FF0000"/>
          <w:sz w:val="18"/>
          <w:szCs w:val="18"/>
        </w:rPr>
        <w:t xml:space="preserve">[Eventuale – per le procedure di gara afferenti </w:t>
      </w:r>
      <w:r>
        <w:rPr>
          <w:rFonts w:ascii="Titillium" w:hAnsi="Titillium" w:cs="Arial"/>
          <w:b/>
          <w:bCs/>
          <w:i/>
          <w:color w:val="FF0000"/>
          <w:sz w:val="18"/>
          <w:szCs w:val="18"/>
        </w:rPr>
        <w:t>a</w:t>
      </w:r>
      <w:r w:rsidRPr="00A2786D">
        <w:rPr>
          <w:rFonts w:ascii="Titillium" w:hAnsi="Titillium" w:cs="Arial"/>
          <w:b/>
          <w:bCs/>
          <w:i/>
          <w:color w:val="FF0000"/>
          <w:sz w:val="18"/>
          <w:szCs w:val="18"/>
        </w:rPr>
        <w:t xml:space="preserve">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A2786D">
        <w:rPr>
          <w:rFonts w:ascii="Titillium" w:hAnsi="Titillium" w:cs="Courier New"/>
          <w:b/>
          <w:i/>
          <w:color w:val="FF0000"/>
          <w:sz w:val="18"/>
          <w:szCs w:val="18"/>
        </w:rPr>
        <w:t>decreto legge 31 maggio 2021, n. 77, convertito, con modificazioni, dalla legge 29 luglio 2021, n. 108</w:t>
      </w:r>
      <w:r w:rsidRPr="00A2786D">
        <w:rPr>
          <w:rFonts w:ascii="Titillium" w:hAnsi="Titillium" w:cs="Arial"/>
          <w:b/>
          <w:bCs/>
          <w:i/>
          <w:color w:val="FF0000"/>
          <w:sz w:val="18"/>
          <w:szCs w:val="18"/>
        </w:rPr>
        <w:t>]</w:t>
      </w:r>
    </w:p>
    <w:p w14:paraId="5A16BB12" w14:textId="60DD044D" w:rsidR="00507049" w:rsidRDefault="00507049" w:rsidP="00507049">
      <w:pPr>
        <w:pStyle w:val="Paragrafoelenco"/>
        <w:numPr>
          <w:ilvl w:val="0"/>
          <w:numId w:val="25"/>
        </w:numPr>
        <w:spacing w:before="120" w:after="120"/>
        <w:rPr>
          <w:rFonts w:ascii="Titillium" w:hAnsi="Titillium" w:cs="Arial"/>
          <w:color w:val="FF0000"/>
          <w:sz w:val="18"/>
          <w:szCs w:val="18"/>
        </w:rPr>
      </w:pPr>
      <w:r w:rsidRPr="00595899">
        <w:rPr>
          <w:rFonts w:ascii="Titillium" w:hAnsi="Titillium" w:cs="Arial"/>
          <w:color w:val="FF0000"/>
          <w:sz w:val="18"/>
          <w:szCs w:val="18"/>
        </w:rPr>
        <w:t xml:space="preserve">di aver assolto agli obblighi </w:t>
      </w:r>
      <w:r>
        <w:rPr>
          <w:rFonts w:ascii="Titillium" w:hAnsi="Titillium" w:cs="Arial"/>
          <w:color w:val="FF0000"/>
          <w:sz w:val="18"/>
          <w:szCs w:val="18"/>
        </w:rPr>
        <w:t>di cui alla</w:t>
      </w:r>
      <w:r w:rsidRPr="00595899">
        <w:rPr>
          <w:rFonts w:ascii="Titillium" w:hAnsi="Titillium" w:cs="Arial"/>
          <w:color w:val="FF0000"/>
          <w:sz w:val="18"/>
          <w:szCs w:val="18"/>
        </w:rPr>
        <w:t xml:space="preserve"> </w:t>
      </w:r>
      <w:r>
        <w:rPr>
          <w:rFonts w:ascii="Titillium" w:hAnsi="Titillium" w:cs="Arial"/>
          <w:color w:val="FF0000"/>
          <w:sz w:val="18"/>
          <w:szCs w:val="18"/>
        </w:rPr>
        <w:t>legge n.</w:t>
      </w:r>
      <w:r w:rsidRPr="00595899">
        <w:rPr>
          <w:rFonts w:ascii="Titillium" w:hAnsi="Titillium" w:cs="Arial"/>
          <w:color w:val="FF0000"/>
          <w:sz w:val="18"/>
          <w:szCs w:val="18"/>
        </w:rPr>
        <w:t xml:space="preserve"> 68/1999</w:t>
      </w:r>
      <w:r>
        <w:rPr>
          <w:rFonts w:ascii="Titillium" w:hAnsi="Titillium" w:cs="Arial"/>
          <w:color w:val="FF0000"/>
          <w:sz w:val="18"/>
          <w:szCs w:val="18"/>
        </w:rPr>
        <w:t>;</w:t>
      </w:r>
    </w:p>
    <w:p w14:paraId="612FA92D" w14:textId="0B0BE981" w:rsidR="00507049" w:rsidRDefault="00507049" w:rsidP="00507F81">
      <w:pPr>
        <w:pStyle w:val="Paragrafoelenco"/>
        <w:widowControl w:val="0"/>
        <w:numPr>
          <w:ilvl w:val="0"/>
          <w:numId w:val="25"/>
        </w:numPr>
        <w:spacing w:before="60" w:after="60"/>
        <w:rPr>
          <w:rFonts w:ascii="Titillium" w:hAnsi="Titillium" w:cs="Arial"/>
          <w:color w:val="FF0000"/>
          <w:sz w:val="18"/>
          <w:szCs w:val="18"/>
        </w:rPr>
      </w:pPr>
      <w:r>
        <w:rPr>
          <w:rFonts w:ascii="Titillium" w:hAnsi="Titillium" w:cs="Arial"/>
          <w:color w:val="FF0000"/>
          <w:sz w:val="18"/>
          <w:szCs w:val="18"/>
        </w:rPr>
        <w:t>di assumersi l</w:t>
      </w:r>
      <w:r w:rsidRPr="00595899">
        <w:rPr>
          <w:rFonts w:ascii="Titillium" w:hAnsi="Titillium" w:cs="Arial"/>
          <w:color w:val="FF0000"/>
          <w:sz w:val="18"/>
          <w:szCs w:val="18"/>
        </w:rPr>
        <w:t>’</w:t>
      </w:r>
      <w:r>
        <w:rPr>
          <w:rFonts w:ascii="Titillium" w:hAnsi="Titillium" w:cs="Arial"/>
          <w:color w:val="FF0000"/>
          <w:sz w:val="18"/>
          <w:szCs w:val="18"/>
        </w:rPr>
        <w:t>obbligo,</w:t>
      </w:r>
      <w:r w:rsidRPr="00595899">
        <w:rPr>
          <w:rFonts w:ascii="Titillium" w:hAnsi="Titillium" w:cs="Arial"/>
          <w:color w:val="FF0000"/>
          <w:sz w:val="18"/>
          <w:szCs w:val="18"/>
        </w:rPr>
        <w:t xml:space="preserve"> in caso di aggiudicazione del contratto</w:t>
      </w:r>
      <w:r>
        <w:rPr>
          <w:rFonts w:ascii="Titillium" w:hAnsi="Titillium" w:cs="Arial"/>
          <w:color w:val="FF0000"/>
          <w:sz w:val="18"/>
          <w:szCs w:val="18"/>
        </w:rPr>
        <w:t>,</w:t>
      </w:r>
      <w:r w:rsidRPr="00595899">
        <w:rPr>
          <w:rFonts w:ascii="Titillium" w:hAnsi="Titillium" w:cs="Arial"/>
          <w:color w:val="FF0000"/>
          <w:sz w:val="18"/>
          <w:szCs w:val="18"/>
        </w:rPr>
        <w:t xml:space="preserve"> </w:t>
      </w:r>
      <w:r>
        <w:rPr>
          <w:rFonts w:ascii="Titillium" w:hAnsi="Titillium" w:cs="Arial"/>
          <w:color w:val="FF0000"/>
          <w:sz w:val="18"/>
          <w:szCs w:val="18"/>
        </w:rPr>
        <w:t>di assicurare al</w:t>
      </w:r>
      <w:r w:rsidRPr="00595899">
        <w:rPr>
          <w:rFonts w:ascii="Titillium" w:hAnsi="Titillium" w:cs="Arial"/>
          <w:color w:val="FF0000"/>
          <w:sz w:val="18"/>
          <w:szCs w:val="18"/>
        </w:rPr>
        <w:t>l’occupazione giovanile</w:t>
      </w:r>
      <w:r w:rsidRPr="00507049">
        <w:rPr>
          <w:rFonts w:ascii="Titillium" w:hAnsi="Titillium" w:cs="Arial"/>
          <w:color w:val="FF0000"/>
          <w:sz w:val="18"/>
          <w:szCs w:val="18"/>
        </w:rPr>
        <w:t xml:space="preserve"> </w:t>
      </w:r>
      <w:r w:rsidRPr="00595899">
        <w:rPr>
          <w:rFonts w:ascii="Titillium" w:hAnsi="Titillium" w:cs="Arial"/>
          <w:color w:val="FF0000"/>
          <w:sz w:val="18"/>
          <w:szCs w:val="18"/>
        </w:rPr>
        <w:t xml:space="preserve">una quota di </w:t>
      </w:r>
      <w:r>
        <w:rPr>
          <w:rFonts w:ascii="Titillium" w:hAnsi="Titillium" w:cs="Arial"/>
          <w:color w:val="FF0000"/>
          <w:sz w:val="18"/>
          <w:szCs w:val="18"/>
        </w:rPr>
        <w:t xml:space="preserve">…. </w:t>
      </w:r>
      <w:r w:rsidRPr="00595899">
        <w:rPr>
          <w:rFonts w:ascii="Titillium" w:hAnsi="Titillium" w:cs="Arial"/>
          <w:color w:val="FF0000"/>
          <w:sz w:val="18"/>
          <w:szCs w:val="18"/>
        </w:rPr>
        <w:t xml:space="preserve">% </w:t>
      </w:r>
      <w:r>
        <w:rPr>
          <w:rFonts w:ascii="Titillium" w:hAnsi="Titillium" w:cs="Arial"/>
          <w:color w:val="FF0000"/>
          <w:sz w:val="18"/>
          <w:szCs w:val="18"/>
        </w:rPr>
        <w:t>[indicare la quota pari o superiore al 30% indicata dalla stazione appaltante ovvero quella inferiore in caso di deroga, ai sensi dell’articolo 47, comma 7, decreto legge n. 77/2021] e a</w:t>
      </w:r>
      <w:r w:rsidRPr="00595899">
        <w:rPr>
          <w:rFonts w:ascii="Titillium" w:hAnsi="Titillium" w:cs="Arial"/>
          <w:color w:val="FF0000"/>
          <w:sz w:val="18"/>
          <w:szCs w:val="18"/>
        </w:rPr>
        <w:t xml:space="preserve"> quella femminile</w:t>
      </w:r>
      <w:r>
        <w:rPr>
          <w:rFonts w:ascii="Titillium" w:hAnsi="Titillium" w:cs="Arial"/>
          <w:color w:val="FF0000"/>
          <w:sz w:val="18"/>
          <w:szCs w:val="18"/>
        </w:rPr>
        <w:t xml:space="preserve"> </w:t>
      </w:r>
      <w:r w:rsidRPr="00595899">
        <w:rPr>
          <w:rFonts w:ascii="Titillium" w:hAnsi="Titillium" w:cs="Arial"/>
          <w:color w:val="FF0000"/>
          <w:sz w:val="18"/>
          <w:szCs w:val="18"/>
        </w:rPr>
        <w:t xml:space="preserve">una quota di </w:t>
      </w:r>
      <w:r>
        <w:rPr>
          <w:rFonts w:ascii="Titillium" w:hAnsi="Titillium" w:cs="Arial"/>
          <w:color w:val="FF0000"/>
          <w:sz w:val="18"/>
          <w:szCs w:val="18"/>
        </w:rPr>
        <w:t xml:space="preserve">…. </w:t>
      </w:r>
      <w:r w:rsidRPr="00595899">
        <w:rPr>
          <w:rFonts w:ascii="Titillium" w:hAnsi="Titillium" w:cs="Arial"/>
          <w:color w:val="FF0000"/>
          <w:sz w:val="18"/>
          <w:szCs w:val="18"/>
        </w:rPr>
        <w:t xml:space="preserve">% </w:t>
      </w:r>
      <w:r>
        <w:rPr>
          <w:rFonts w:ascii="Titillium" w:hAnsi="Titillium" w:cs="Arial"/>
          <w:color w:val="FF0000"/>
          <w:sz w:val="18"/>
          <w:szCs w:val="18"/>
        </w:rPr>
        <w:t>[indicare la quota pari o superiore al 30% indicata dalla stazione appaltante ovvero quella inferiore in caso di deroga, ai sensi dell’articolo 47, comma 7, decreto legge n. 77/2021]</w:t>
      </w:r>
      <w:r w:rsidRPr="00595899">
        <w:rPr>
          <w:rFonts w:ascii="Titillium" w:hAnsi="Titillium" w:cs="Arial"/>
          <w:color w:val="FF0000"/>
          <w:sz w:val="18"/>
          <w:szCs w:val="18"/>
        </w:rPr>
        <w:t xml:space="preserve"> d</w:t>
      </w:r>
      <w:r>
        <w:rPr>
          <w:rFonts w:ascii="Titillium" w:hAnsi="Titillium" w:cs="Arial"/>
          <w:color w:val="FF0000"/>
          <w:sz w:val="18"/>
          <w:szCs w:val="18"/>
        </w:rPr>
        <w:t>elle</w:t>
      </w:r>
      <w:r w:rsidRPr="00595899">
        <w:rPr>
          <w:rFonts w:ascii="Titillium" w:hAnsi="Titillium" w:cs="Arial"/>
          <w:color w:val="FF0000"/>
          <w:sz w:val="18"/>
          <w:szCs w:val="18"/>
        </w:rPr>
        <w:t xml:space="preserve"> assunzioni necessarie per l'esecuzione del contratto o per la realizzazione di attività</w:t>
      </w:r>
      <w:r>
        <w:rPr>
          <w:rFonts w:ascii="Titillium" w:hAnsi="Titillium" w:cs="Arial"/>
          <w:color w:val="FF0000"/>
          <w:sz w:val="18"/>
          <w:szCs w:val="18"/>
        </w:rPr>
        <w:t xml:space="preserve"> ad esso connesse o strumentali</w:t>
      </w:r>
      <w:r w:rsidR="00CE61E8">
        <w:rPr>
          <w:rFonts w:ascii="Titillium" w:hAnsi="Titillium" w:cs="Arial"/>
          <w:color w:val="FF0000"/>
          <w:sz w:val="18"/>
          <w:szCs w:val="18"/>
        </w:rPr>
        <w:t>;</w:t>
      </w:r>
    </w:p>
    <w:p w14:paraId="6BA16F9A" w14:textId="07CD11C7" w:rsidR="00D11E56" w:rsidRPr="00D11E56" w:rsidRDefault="0055228C" w:rsidP="00507F81">
      <w:pPr>
        <w:pStyle w:val="Paragrafoelenco"/>
        <w:widowControl w:val="0"/>
        <w:numPr>
          <w:ilvl w:val="0"/>
          <w:numId w:val="25"/>
        </w:numPr>
        <w:spacing w:before="60" w:after="60"/>
        <w:rPr>
          <w:rFonts w:ascii="Titillium" w:hAnsi="Titillium" w:cs="Arial"/>
          <w:color w:val="FF0000"/>
          <w:sz w:val="18"/>
          <w:szCs w:val="18"/>
        </w:rPr>
      </w:pPr>
      <w:r w:rsidRPr="00D11E56">
        <w:rPr>
          <w:rFonts w:ascii="Titillium" w:hAnsi="Titillium"/>
          <w:b/>
          <w:i/>
          <w:sz w:val="18"/>
          <w:szCs w:val="18"/>
        </w:rPr>
        <w:t xml:space="preserve">[facoltativo nel caso di applicazione della clausola sociale di cui all’articolo 50 del Codice] </w:t>
      </w:r>
      <w:r w:rsidRPr="00D11E56">
        <w:rPr>
          <w:rFonts w:ascii="Titillium" w:hAnsi="Titillium"/>
          <w:sz w:val="18"/>
          <w:szCs w:val="18"/>
        </w:rPr>
        <w:t>di impegnarsi al rispetto della clausola soci</w:t>
      </w:r>
      <w:r w:rsidR="007424B5" w:rsidRPr="00D11E56">
        <w:rPr>
          <w:rFonts w:ascii="Titillium" w:hAnsi="Titillium"/>
          <w:sz w:val="18"/>
          <w:szCs w:val="18"/>
        </w:rPr>
        <w:t>ale indicata nel bando di gara</w:t>
      </w:r>
      <w:r w:rsidR="00E145A4">
        <w:rPr>
          <w:rFonts w:ascii="Titillium" w:hAnsi="Titillium"/>
          <w:sz w:val="18"/>
          <w:szCs w:val="18"/>
        </w:rPr>
        <w:t>;</w:t>
      </w:r>
      <w:r w:rsidR="007424B5" w:rsidRPr="00D11E56">
        <w:rPr>
          <w:rFonts w:ascii="Titillium" w:hAnsi="Titillium"/>
          <w:sz w:val="18"/>
          <w:szCs w:val="18"/>
        </w:rPr>
        <w:t xml:space="preserve"> </w:t>
      </w:r>
    </w:p>
    <w:p w14:paraId="3A0AC3AE" w14:textId="0B40218A" w:rsidR="0055228C" w:rsidRDefault="0055228C" w:rsidP="0055228C">
      <w:pPr>
        <w:pStyle w:val="Paragrafoelenco"/>
        <w:numPr>
          <w:ilvl w:val="0"/>
          <w:numId w:val="25"/>
        </w:numPr>
        <w:spacing w:before="60" w:after="60"/>
      </w:pPr>
      <w:r>
        <w:rPr>
          <w:rFonts w:ascii="Titillium" w:eastAsia="SimSun" w:hAnsi="Titillium"/>
          <w:b/>
          <w:i/>
          <w:sz w:val="18"/>
          <w:szCs w:val="18"/>
        </w:rPr>
        <w:t>[obbligatorio nel caso di acquisti rientranti nelle categorie espressamente individuate dal “Piano d’azione nazionale per la sostenibilità ambientale dei consumi della Pubblica Amministrazione”, facoltativo negli altri casi]</w:t>
      </w:r>
      <w:r>
        <w:rPr>
          <w:rFonts w:ascii="Titillium" w:hAnsi="Titillium"/>
          <w:sz w:val="18"/>
          <w:szCs w:val="18"/>
        </w:rPr>
        <w:t xml:space="preserve"> </w:t>
      </w:r>
      <w:r>
        <w:rPr>
          <w:rFonts w:ascii="Titillium" w:hAnsi="Titillium" w:cs="Calibri"/>
          <w:sz w:val="18"/>
          <w:szCs w:val="18"/>
        </w:rPr>
        <w:t xml:space="preserve">di impegnarsi a sottoscrivere la dichiarazione di conformità agli standard sociali minimi di cui all’allegato I al decreto del Ministero dell’Ambiente e della Tutela del Territorio e del Mare del 6 giugno 2012; </w:t>
      </w:r>
    </w:p>
    <w:p w14:paraId="4A01B6B6" w14:textId="77777777" w:rsidR="0055228C" w:rsidRDefault="0055228C" w:rsidP="0055228C">
      <w:pPr>
        <w:pStyle w:val="Paragrafoelenco"/>
        <w:numPr>
          <w:ilvl w:val="0"/>
          <w:numId w:val="25"/>
        </w:numPr>
        <w:spacing w:before="60" w:after="60"/>
        <w:rPr>
          <w:rFonts w:ascii="Titillium" w:hAnsi="Titillium" w:cs="Calibri"/>
          <w:sz w:val="18"/>
          <w:szCs w:val="18"/>
        </w:rPr>
      </w:pPr>
      <w:r>
        <w:rPr>
          <w:rFonts w:ascii="Titillium" w:hAnsi="Titillium" w:cs="Calibri"/>
          <w:sz w:val="18"/>
          <w:szCs w:val="18"/>
        </w:rPr>
        <w:t>di essere edotto degli obblighi derivanti dal Codice di comportamento adottato dalla stazione appaltante … reperibile a … [indicare gli estremi del Codice di comportamento e dove reperirlo] e di impegnarsi, in caso di aggiudicazione, ad osservare e a far osservare ai propri dipendenti e collaboratori, per quanto applicabile, il suddetto codice, pena la risoluzione del contratto;</w:t>
      </w:r>
    </w:p>
    <w:p w14:paraId="3ECB4F6A" w14:textId="77777777" w:rsidR="0055228C" w:rsidRDefault="0055228C" w:rsidP="0055228C">
      <w:pPr>
        <w:pStyle w:val="Paragrafoelenco"/>
        <w:numPr>
          <w:ilvl w:val="0"/>
          <w:numId w:val="25"/>
        </w:numPr>
        <w:spacing w:before="60" w:after="60"/>
      </w:pPr>
      <w:r w:rsidRPr="00F70887">
        <w:rPr>
          <w:rFonts w:ascii="Titillium" w:hAnsi="Titillium" w:cs="Calibri"/>
          <w:b/>
          <w:i/>
          <w:sz w:val="18"/>
          <w:szCs w:val="18"/>
        </w:rPr>
        <w:t>[in caso di vigenza di patti/protocolli di legalità]</w:t>
      </w:r>
      <w:r w:rsidRPr="000B19D5">
        <w:rPr>
          <w:rFonts w:ascii="Titillium" w:hAnsi="Titillium" w:cs="Calibri"/>
          <w:sz w:val="18"/>
          <w:szCs w:val="18"/>
        </w:rPr>
        <w:t xml:space="preserve"> </w:t>
      </w:r>
      <w:r>
        <w:rPr>
          <w:rFonts w:ascii="Titillium" w:hAnsi="Titillium" w:cs="Calibri"/>
          <w:sz w:val="18"/>
          <w:szCs w:val="18"/>
        </w:rPr>
        <w:t xml:space="preserve">di accettare il patto di integrità/protocollo di legalità </w:t>
      </w:r>
      <w:r w:rsidRPr="00F70887">
        <w:rPr>
          <w:rFonts w:ascii="Titillium" w:hAnsi="Titillium" w:cs="Calibri"/>
          <w:i/>
          <w:sz w:val="18"/>
          <w:szCs w:val="18"/>
        </w:rPr>
        <w:t>… [</w:t>
      </w:r>
      <w:r w:rsidRPr="008866EE">
        <w:rPr>
          <w:rFonts w:ascii="Titillium" w:hAnsi="Titillium" w:cs="Calibri"/>
          <w:i/>
          <w:sz w:val="18"/>
          <w:szCs w:val="18"/>
        </w:rPr>
        <w:t>indicare il riferimento normativo o amministrativo, per esempio legge regionale n. … del …, delibera n… del …</w:t>
      </w:r>
      <w:r w:rsidRPr="00F70887">
        <w:rPr>
          <w:rFonts w:ascii="Titillium" w:hAnsi="Titillium" w:cs="Calibri"/>
          <w:i/>
          <w:sz w:val="18"/>
          <w:szCs w:val="18"/>
        </w:rPr>
        <w:t xml:space="preserve">] </w:t>
      </w:r>
      <w:r>
        <w:rPr>
          <w:rFonts w:ascii="Titillium" w:hAnsi="Titillium" w:cs="Calibri"/>
          <w:i/>
          <w:sz w:val="18"/>
          <w:szCs w:val="18"/>
        </w:rPr>
        <w:t xml:space="preserve"> </w:t>
      </w:r>
      <w:r>
        <w:rPr>
          <w:rFonts w:ascii="Titillium" w:hAnsi="Titillium" w:cs="Calibri"/>
          <w:sz w:val="18"/>
          <w:szCs w:val="18"/>
        </w:rPr>
        <w:t>accessibile al seguente link …</w:t>
      </w:r>
      <w:r>
        <w:rPr>
          <w:rFonts w:ascii="Titillium" w:hAnsi="Titillium" w:cs="Calibri"/>
          <w:i/>
          <w:sz w:val="18"/>
          <w:szCs w:val="18"/>
        </w:rPr>
        <w:t xml:space="preserve"> </w:t>
      </w:r>
      <w:r w:rsidRPr="000B19D5">
        <w:rPr>
          <w:rFonts w:ascii="Titillium" w:hAnsi="Titillium" w:cs="Calibri"/>
          <w:sz w:val="18"/>
          <w:szCs w:val="18"/>
        </w:rPr>
        <w:t>[</w:t>
      </w:r>
      <w:r>
        <w:rPr>
          <w:rFonts w:ascii="Titillium" w:hAnsi="Titillium" w:cs="Calibri"/>
          <w:i/>
          <w:sz w:val="18"/>
          <w:szCs w:val="18"/>
        </w:rPr>
        <w:t>indicare</w:t>
      </w:r>
      <w:r>
        <w:rPr>
          <w:rFonts w:ascii="Titillium" w:hAnsi="Titillium" w:cs="Calibri"/>
          <w:sz w:val="18"/>
          <w:szCs w:val="18"/>
        </w:rPr>
        <w:t>]</w:t>
      </w:r>
      <w:r w:rsidRPr="000B19D5">
        <w:rPr>
          <w:rFonts w:ascii="Titillium" w:hAnsi="Titillium" w:cs="Calibri"/>
          <w:sz w:val="18"/>
          <w:szCs w:val="18"/>
        </w:rPr>
        <w:t>.</w:t>
      </w:r>
      <w:r>
        <w:rPr>
          <w:rFonts w:ascii="Titillium" w:hAnsi="Titillium" w:cs="Calibri"/>
          <w:sz w:val="18"/>
          <w:szCs w:val="18"/>
        </w:rPr>
        <w:t xml:space="preserve"> La mancata accettazione delle clausole contenute nel protocollo di legalità/patto di integrità costituisce causa di esclusione dalla gara, ai sensi dell’articolo 83-bis, del decreto legislativo 159/2011;</w:t>
      </w:r>
    </w:p>
    <w:p w14:paraId="18B2738C" w14:textId="77777777" w:rsidR="0055228C" w:rsidRPr="00C63560" w:rsidRDefault="0055228C" w:rsidP="0055228C">
      <w:pPr>
        <w:pStyle w:val="Paragrafoelenco"/>
        <w:numPr>
          <w:ilvl w:val="0"/>
          <w:numId w:val="25"/>
        </w:numPr>
        <w:rPr>
          <w:rFonts w:ascii="Titillium" w:hAnsi="Titillium" w:cs="Calibri"/>
          <w:i/>
          <w:color w:val="FF0000"/>
          <w:sz w:val="18"/>
          <w:szCs w:val="18"/>
        </w:rPr>
      </w:pPr>
      <w:r w:rsidRPr="00331144">
        <w:rPr>
          <w:rFonts w:ascii="Titillium" w:hAnsi="Titillium" w:cs="Calibri"/>
          <w:b/>
          <w:i/>
          <w:sz w:val="18"/>
          <w:szCs w:val="18"/>
        </w:rPr>
        <w:t>[facoltativo nel caso di particolari condizioni di esecuzione]</w:t>
      </w:r>
      <w:r>
        <w:rPr>
          <w:rFonts w:ascii="Titillium" w:hAnsi="Titillium" w:cs="Calibri"/>
          <w:sz w:val="18"/>
          <w:szCs w:val="18"/>
        </w:rPr>
        <w:t xml:space="preserve"> di accettare, ai sensi dell’articolo 100, comma 2 del Codice, nell’ipotesi in cui risulti aggiudicatario i seguenti requisiti per l’esecuzione del contratto … </w:t>
      </w:r>
      <w:r w:rsidRPr="00F70887">
        <w:rPr>
          <w:rFonts w:ascii="Titillium" w:hAnsi="Titillium" w:cs="Calibri"/>
          <w:i/>
          <w:sz w:val="18"/>
          <w:szCs w:val="18"/>
        </w:rPr>
        <w:t>[</w:t>
      </w:r>
      <w:r w:rsidRPr="008866EE">
        <w:rPr>
          <w:rFonts w:ascii="Titillium" w:hAnsi="Titillium" w:cs="Calibri"/>
          <w:i/>
          <w:sz w:val="18"/>
          <w:szCs w:val="18"/>
        </w:rPr>
        <w:t>indicare i requisiti</w:t>
      </w:r>
      <w:r>
        <w:rPr>
          <w:rFonts w:ascii="Titillium" w:hAnsi="Titillium" w:cs="Calibri"/>
          <w:i/>
          <w:sz w:val="18"/>
          <w:szCs w:val="18"/>
        </w:rPr>
        <w:t xml:space="preserve">], </w:t>
      </w:r>
    </w:p>
    <w:p w14:paraId="779D2205" w14:textId="2B23BF45" w:rsidR="0055228C" w:rsidRDefault="0055228C" w:rsidP="0055228C">
      <w:pPr>
        <w:pStyle w:val="Paragrafoelenco"/>
        <w:numPr>
          <w:ilvl w:val="0"/>
          <w:numId w:val="25"/>
        </w:numPr>
      </w:pPr>
      <w:r w:rsidRPr="00F70887">
        <w:rPr>
          <w:rFonts w:ascii="Titillium" w:hAnsi="Titillium" w:cs="Calibri"/>
          <w:b/>
          <w:i/>
          <w:sz w:val="18"/>
          <w:szCs w:val="18"/>
        </w:rPr>
        <w:t>[in caso di servizi/forniture di cui ai settori sensibili di cui all’art 1, comma 53 della legge 190/2012]</w:t>
      </w:r>
      <w:r>
        <w:rPr>
          <w:rFonts w:ascii="Titillium" w:hAnsi="Titillium" w:cs="Calibri"/>
          <w:i/>
          <w:sz w:val="18"/>
          <w:szCs w:val="18"/>
        </w:rPr>
        <w:t xml:space="preserve"> </w:t>
      </w:r>
      <w:r>
        <w:rPr>
          <w:rFonts w:ascii="Titillium" w:hAnsi="Titillium" w:cs="Calibri"/>
          <w:sz w:val="18"/>
          <w:szCs w:val="18"/>
        </w:rPr>
        <w:t xml:space="preserve">di essere iscritto nell’elenco dei fornitori, prestatori di servizi non soggetti a tentativo di infiltrazione mafiosa white list) istituito presso la </w:t>
      </w:r>
      <w:r w:rsidR="00CE61E8">
        <w:rPr>
          <w:rFonts w:ascii="Titillium" w:hAnsi="Titillium" w:cs="Calibri"/>
          <w:sz w:val="18"/>
          <w:szCs w:val="18"/>
        </w:rPr>
        <w:t>Prefettura della provincia di …</w:t>
      </w:r>
      <w:r>
        <w:rPr>
          <w:rFonts w:ascii="Titillium" w:hAnsi="Titillium" w:cs="Calibri"/>
          <w:sz w:val="18"/>
          <w:szCs w:val="18"/>
        </w:rPr>
        <w:t xml:space="preserve"> oppure di aver presentato domanda di iscrizione nell’elenco dei fornitori, prestatori di servizi non soggetti a tentativo di infiltrazione mafiosa (white list) istituito presso la Prefettura della provincia di …;</w:t>
      </w:r>
    </w:p>
    <w:p w14:paraId="622F0928" w14:textId="77777777" w:rsidR="0055228C" w:rsidRDefault="0055228C" w:rsidP="0055228C">
      <w:pPr>
        <w:pStyle w:val="Paragrafoelenco"/>
        <w:numPr>
          <w:ilvl w:val="0"/>
          <w:numId w:val="25"/>
        </w:numPr>
      </w:pPr>
      <w:r w:rsidRPr="00F70887">
        <w:rPr>
          <w:rFonts w:ascii="Titillium" w:hAnsi="Titillium" w:cs="Calibri"/>
          <w:b/>
          <w:i/>
          <w:sz w:val="18"/>
          <w:szCs w:val="18"/>
        </w:rPr>
        <w:t xml:space="preserve">[nel caso di operatori economici non residenti e privi di stabile organizzazione in Italia] </w:t>
      </w:r>
      <w:r>
        <w:rPr>
          <w:rFonts w:ascii="Titillium" w:hAnsi="Titillium" w:cs="Calibri"/>
          <w:sz w:val="18"/>
          <w:szCs w:val="18"/>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17F40BD" w14:textId="77777777" w:rsidR="0055228C" w:rsidRPr="00BE7E3A" w:rsidRDefault="0055228C" w:rsidP="0055228C">
      <w:pPr>
        <w:pStyle w:val="Paragrafoelenco"/>
        <w:numPr>
          <w:ilvl w:val="0"/>
          <w:numId w:val="25"/>
        </w:numPr>
        <w:rPr>
          <w:rFonts w:ascii="Titillium" w:hAnsi="Titillium"/>
          <w:sz w:val="18"/>
          <w:szCs w:val="18"/>
        </w:rPr>
      </w:pPr>
      <w:r w:rsidRPr="00F70887">
        <w:rPr>
          <w:rFonts w:ascii="Titillium" w:hAnsi="Titillium" w:cs="Calibri"/>
          <w:b/>
          <w:i/>
          <w:sz w:val="18"/>
          <w:szCs w:val="18"/>
        </w:rPr>
        <w:t xml:space="preserve">[nel caso di operatori economici non </w:t>
      </w:r>
      <w:r w:rsidRPr="00BE7E3A">
        <w:rPr>
          <w:rFonts w:ascii="Titillium" w:hAnsi="Titillium" w:cs="Calibri"/>
          <w:b/>
          <w:i/>
          <w:sz w:val="18"/>
          <w:szCs w:val="18"/>
        </w:rPr>
        <w:t>residenti e privi di stabile organizzazione in Italia]</w:t>
      </w:r>
      <w:r w:rsidRPr="00BE7E3A">
        <w:rPr>
          <w:rFonts w:ascii="Titillium" w:hAnsi="Titillium" w:cs="Calibri"/>
          <w:sz w:val="18"/>
          <w:szCs w:val="18"/>
        </w:rPr>
        <w:t xml:space="preserve"> il domicilio fiscale …, il codice fiscale …, la partita IVA …, l’indirizzo di posta elettronica certificata o strumento analogo negli altri Stati Membri, ai fini delle comunicazioni di cui all’articolo 76, comma 5 del Codice;</w:t>
      </w:r>
    </w:p>
    <w:p w14:paraId="49E35A24" w14:textId="77777777" w:rsidR="0055228C" w:rsidRPr="00BE7E3A" w:rsidRDefault="0055228C" w:rsidP="0055228C">
      <w:pPr>
        <w:pStyle w:val="Paragrafoelenco"/>
        <w:numPr>
          <w:ilvl w:val="0"/>
          <w:numId w:val="25"/>
        </w:numPr>
        <w:rPr>
          <w:rFonts w:ascii="Titillium" w:hAnsi="Titillium"/>
          <w:sz w:val="18"/>
          <w:szCs w:val="18"/>
        </w:rPr>
      </w:pPr>
      <w:r w:rsidRPr="00BE7E3A">
        <w:rPr>
          <w:rFonts w:ascii="Titillium" w:hAnsi="Titillium" w:cs="Calibri"/>
          <w:sz w:val="18"/>
          <w:szCs w:val="18"/>
        </w:rPr>
        <w:t xml:space="preserve">di aver preso visione e di accettare il trattamento dei dati personali di cui al punto 30. </w:t>
      </w:r>
    </w:p>
    <w:p w14:paraId="3205FBDC" w14:textId="77777777" w:rsidR="0055228C" w:rsidRPr="00BE7E3A" w:rsidRDefault="0055228C" w:rsidP="0055228C">
      <w:pPr>
        <w:spacing w:before="60" w:after="60"/>
        <w:rPr>
          <w:rFonts w:ascii="Titillium" w:hAnsi="Titillium"/>
          <w:sz w:val="18"/>
          <w:szCs w:val="18"/>
        </w:rPr>
      </w:pPr>
      <w:r w:rsidRPr="00BE7E3A">
        <w:rPr>
          <w:rFonts w:ascii="Titillium" w:hAnsi="Titillium" w:cs="Calibri"/>
          <w:sz w:val="18"/>
          <w:szCs w:val="18"/>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2A9BE62A" w14:textId="77777777" w:rsidR="0055228C" w:rsidRPr="00BE7E3A" w:rsidRDefault="0055228C" w:rsidP="0055228C">
      <w:pPr>
        <w:spacing w:before="60" w:after="60"/>
        <w:rPr>
          <w:rFonts w:ascii="Titillium" w:hAnsi="Titillium"/>
          <w:sz w:val="18"/>
          <w:szCs w:val="18"/>
        </w:rPr>
      </w:pPr>
      <w:r w:rsidRPr="00BE7E3A">
        <w:rPr>
          <w:rFonts w:ascii="Titillium" w:hAnsi="Titillium" w:cs="Calibri"/>
          <w:sz w:val="18"/>
          <w:szCs w:val="18"/>
        </w:rPr>
        <w:t>La domanda e le relative dichiarazioni sono sottoscritte</w:t>
      </w:r>
      <w:r w:rsidRPr="00BE7E3A">
        <w:rPr>
          <w:rFonts w:ascii="Titillium" w:hAnsi="Titillium"/>
          <w:sz w:val="18"/>
          <w:szCs w:val="18"/>
        </w:rPr>
        <w:t xml:space="preserve"> </w:t>
      </w:r>
      <w:r w:rsidRPr="00BE7E3A">
        <w:rPr>
          <w:rFonts w:ascii="Titillium" w:hAnsi="Titillium" w:cs="Calibri"/>
          <w:sz w:val="18"/>
          <w:szCs w:val="18"/>
        </w:rPr>
        <w:t>ai sensi del decreto legislativo n. 82/2005:</w:t>
      </w:r>
    </w:p>
    <w:p w14:paraId="39D9986C"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dal concorrente che partecipa in forma singola;</w:t>
      </w:r>
    </w:p>
    <w:p w14:paraId="6BB945CB"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nel caso di raggruppamento temporaneo o consorzio ordinario o GEIE costituiti, dalla mandataria/capofila;</w:t>
      </w:r>
    </w:p>
    <w:p w14:paraId="3DB75F6D" w14:textId="77777777" w:rsidR="0055228C" w:rsidRPr="00BE7E3A" w:rsidRDefault="0055228C" w:rsidP="0055228C">
      <w:pPr>
        <w:pStyle w:val="Paragrafoelenco"/>
        <w:numPr>
          <w:ilvl w:val="0"/>
          <w:numId w:val="12"/>
        </w:numPr>
        <w:spacing w:before="60" w:after="60"/>
        <w:ind w:left="426" w:hanging="284"/>
        <w:rPr>
          <w:rFonts w:ascii="Titillium" w:hAnsi="Titillium"/>
          <w:sz w:val="18"/>
          <w:szCs w:val="18"/>
        </w:rPr>
      </w:pPr>
      <w:r w:rsidRPr="00BE7E3A">
        <w:rPr>
          <w:rFonts w:ascii="Titillium" w:hAnsi="Titillium" w:cs="Calibri"/>
          <w:sz w:val="18"/>
          <w:szCs w:val="18"/>
        </w:rPr>
        <w:t>nel caso di raggruppamento temporaneo o consorzio ordinario o GEIE non ancora costituiti, da tutti i soggetti che costituiranno il raggruppamento o il consorzio o il gruppo;</w:t>
      </w:r>
    </w:p>
    <w:p w14:paraId="3ED4BAFB" w14:textId="77777777" w:rsidR="0055228C" w:rsidRPr="00BE7E3A" w:rsidRDefault="0055228C" w:rsidP="0055228C">
      <w:pPr>
        <w:pStyle w:val="Paragrafoelenco"/>
        <w:numPr>
          <w:ilvl w:val="0"/>
          <w:numId w:val="12"/>
        </w:numPr>
        <w:spacing w:before="60" w:after="60"/>
        <w:ind w:left="426" w:hanging="284"/>
        <w:rPr>
          <w:rFonts w:ascii="Titillium" w:hAnsi="Titillium" w:cs="Calibri"/>
          <w:sz w:val="18"/>
          <w:szCs w:val="18"/>
        </w:rPr>
      </w:pPr>
      <w:r w:rsidRPr="00BE7E3A">
        <w:rPr>
          <w:rFonts w:ascii="Titillium" w:hAnsi="Titillium" w:cs="Calibri"/>
          <w:sz w:val="18"/>
          <w:szCs w:val="18"/>
        </w:rPr>
        <w:t>nel caso di aggregazioni di retisti:</w:t>
      </w:r>
    </w:p>
    <w:p w14:paraId="0215F59F"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rPr>
        <w:t>se la rete è dotata di un organo comune con potere di rappresentanza e con soggettività giuridica, ai sensi dell’articolo 3, comma 4-</w:t>
      </w:r>
      <w:r w:rsidRPr="00213696">
        <w:rPr>
          <w:rFonts w:ascii="Titillium" w:hAnsi="Titillium" w:cs="Calibri"/>
          <w:i/>
          <w:sz w:val="18"/>
          <w:szCs w:val="18"/>
        </w:rPr>
        <w:t>quater</w:t>
      </w:r>
      <w:r w:rsidRPr="00213696">
        <w:rPr>
          <w:rFonts w:ascii="Titillium" w:hAnsi="Titillium" w:cs="Calibri"/>
          <w:sz w:val="18"/>
          <w:szCs w:val="18"/>
        </w:rPr>
        <w:t>, del decreto legge 10 febbraio 2009, n. 5, la domanda di partecipazione deve essere sottoscritta dal solo operatore economico che riveste la funzione di organo comune;</w:t>
      </w:r>
    </w:p>
    <w:p w14:paraId="1F7C7E59"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lang w:eastAsia="it-IT"/>
        </w:rPr>
        <w:t>se la rete è dotata di un organo comune con potere di rappresentanza ma è priva di soggettività giuridica, ai sensi dell’articolo 3, comma 4-</w:t>
      </w:r>
      <w:r w:rsidRPr="00213696">
        <w:rPr>
          <w:rFonts w:ascii="Titillium" w:hAnsi="Titillium" w:cs="Calibri"/>
          <w:i/>
          <w:sz w:val="18"/>
          <w:szCs w:val="18"/>
          <w:lang w:eastAsia="it-IT"/>
        </w:rPr>
        <w:t>quater</w:t>
      </w:r>
      <w:r w:rsidRPr="00213696">
        <w:rPr>
          <w:rFonts w:ascii="Titillium" w:hAnsi="Titillium" w:cs="Calibri"/>
          <w:sz w:val="18"/>
          <w:szCs w:val="18"/>
          <w:lang w:eastAsia="it-IT"/>
        </w:rPr>
        <w:t xml:space="preserve">, del decreto legge 10 febbraio 2009, n. 5, la domanda di partecipazione deve essere sottoscritta </w:t>
      </w:r>
      <w:r w:rsidRPr="00213696">
        <w:rPr>
          <w:rFonts w:ascii="Titillium" w:hAnsi="Titillium" w:cs="Calibri"/>
          <w:sz w:val="18"/>
          <w:szCs w:val="18"/>
        </w:rPr>
        <w:t>dal</w:t>
      </w:r>
      <w:r w:rsidRPr="00213696">
        <w:rPr>
          <w:rFonts w:ascii="Titillium" w:hAnsi="Titillium" w:cs="Calibri"/>
          <w:sz w:val="18"/>
          <w:szCs w:val="18"/>
          <w:lang w:eastAsia="it-IT"/>
        </w:rPr>
        <w:t xml:space="preserve">l’impresa che riveste le funzioni di organo comune nonché da ognuno dei retisti che partecipa alla gara; </w:t>
      </w:r>
    </w:p>
    <w:p w14:paraId="0607EEE9" w14:textId="77777777" w:rsidR="0055228C" w:rsidRPr="00213696" w:rsidRDefault="0055228C" w:rsidP="0055228C">
      <w:pPr>
        <w:numPr>
          <w:ilvl w:val="4"/>
          <w:numId w:val="2"/>
        </w:numPr>
        <w:spacing w:before="60" w:after="60"/>
        <w:ind w:left="709" w:hanging="283"/>
        <w:rPr>
          <w:rFonts w:ascii="Titillium" w:hAnsi="Titillium"/>
          <w:sz w:val="18"/>
          <w:szCs w:val="18"/>
        </w:rPr>
      </w:pPr>
      <w:r w:rsidRPr="00213696">
        <w:rPr>
          <w:rFonts w:ascii="Titillium" w:hAnsi="Titillium" w:cs="Calibri"/>
          <w:sz w:val="18"/>
          <w:szCs w:val="18"/>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79650B33" w14:textId="77777777" w:rsidR="0055228C" w:rsidRPr="00213696" w:rsidRDefault="0055228C" w:rsidP="0055228C">
      <w:pPr>
        <w:spacing w:before="60" w:after="60"/>
        <w:ind w:left="426" w:hanging="256"/>
        <w:rPr>
          <w:rFonts w:ascii="Titillium" w:hAnsi="Titillium"/>
          <w:sz w:val="18"/>
          <w:szCs w:val="18"/>
        </w:rPr>
      </w:pPr>
      <w:r w:rsidRPr="00213696">
        <w:rPr>
          <w:rFonts w:ascii="Titillium" w:hAnsi="Titillium" w:cs="Arial"/>
          <w:sz w:val="18"/>
          <w:szCs w:val="18"/>
        </w:rPr>
        <w:t xml:space="preserve">- </w:t>
      </w:r>
      <w:r w:rsidRPr="00213696">
        <w:rPr>
          <w:rFonts w:ascii="Titillium" w:hAnsi="Titillium" w:cs="Arial"/>
          <w:sz w:val="18"/>
          <w:szCs w:val="18"/>
        </w:rPr>
        <w:tab/>
        <w:t>nel</w:t>
      </w:r>
      <w:r w:rsidRPr="00213696">
        <w:rPr>
          <w:rFonts w:ascii="Titillium" w:hAnsi="Titillium" w:cs="Calibri"/>
          <w:sz w:val="18"/>
          <w:szCs w:val="18"/>
          <w:lang w:eastAsia="it-IT"/>
        </w:rPr>
        <w:t xml:space="preserve"> caso di consorzio di cooperative e imprese artigiane o di consorzio stabile di cui all’articolo 45, comma 2 lettera b) e c) del Codice, </w:t>
      </w:r>
      <w:r w:rsidRPr="00213696">
        <w:rPr>
          <w:rFonts w:ascii="Titillium" w:hAnsi="Titillium" w:cs="Calibri"/>
          <w:sz w:val="18"/>
          <w:szCs w:val="18"/>
        </w:rPr>
        <w:t>la domanda è sottoscritta</w:t>
      </w:r>
      <w:r w:rsidRPr="00213696">
        <w:rPr>
          <w:rFonts w:ascii="Titillium" w:hAnsi="Titillium" w:cs="Calibri"/>
          <w:sz w:val="18"/>
          <w:szCs w:val="18"/>
          <w:lang w:eastAsia="it-IT"/>
        </w:rPr>
        <w:t xml:space="preserve"> digitalmente dal consorzio medesimo.</w:t>
      </w:r>
    </w:p>
    <w:p w14:paraId="346BAA53" w14:textId="77777777" w:rsidR="0055228C" w:rsidRPr="00213696" w:rsidRDefault="0055228C" w:rsidP="0055228C">
      <w:pPr>
        <w:rPr>
          <w:rFonts w:ascii="Titillium" w:hAnsi="Titillium"/>
          <w:sz w:val="18"/>
          <w:szCs w:val="18"/>
        </w:rPr>
      </w:pPr>
      <w:r w:rsidRPr="00213696">
        <w:rPr>
          <w:rFonts w:ascii="Titillium" w:hAnsi="Titillium"/>
          <w:sz w:val="18"/>
          <w:szCs w:val="18"/>
        </w:rPr>
        <w:t>La domanda e le relative dichiarazioni sono firmate dal legale rappresentante del concorrente o da un suo procuratore munito della relativa procura. In tal caso, il  concorrente allega alla domanda copia conforme all’originale della procura [</w:t>
      </w:r>
      <w:r w:rsidRPr="00213696">
        <w:rPr>
          <w:rFonts w:ascii="Titillium" w:hAnsi="Titillium"/>
          <w:i/>
          <w:sz w:val="18"/>
          <w:szCs w:val="18"/>
        </w:rPr>
        <w:t>e ove la stazione possegga un collegamento adeguato ad acquisire la visura camerale contenente l’indicazione dei poteri dei procuratori inserire anche la seguente frase: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r w:rsidRPr="00213696">
        <w:rPr>
          <w:rFonts w:ascii="Titillium" w:hAnsi="Titillium"/>
          <w:sz w:val="18"/>
          <w:szCs w:val="18"/>
        </w:rPr>
        <w:t>].</w:t>
      </w:r>
      <w:r w:rsidRPr="00213696">
        <w:rPr>
          <w:rFonts w:ascii="Titillium" w:hAnsi="Titillium" w:cs="Calibri"/>
          <w:sz w:val="18"/>
          <w:szCs w:val="18"/>
        </w:rPr>
        <w:t xml:space="preserve"> </w:t>
      </w:r>
    </w:p>
    <w:tbl>
      <w:tblPr>
        <w:tblW w:w="9356" w:type="dxa"/>
        <w:tblInd w:w="-5" w:type="dxa"/>
        <w:shd w:val="clear" w:color="auto" w:fill="FFFFFF" w:themeFill="background1"/>
        <w:tblLook w:val="04A0" w:firstRow="1" w:lastRow="0" w:firstColumn="1" w:lastColumn="0" w:noHBand="0" w:noVBand="1"/>
      </w:tblPr>
      <w:tblGrid>
        <w:gridCol w:w="9356"/>
      </w:tblGrid>
      <w:tr w:rsidR="0055228C" w:rsidRPr="000E45B5" w14:paraId="2DF56FF3" w14:textId="77777777" w:rsidTr="009A683A">
        <w:tc>
          <w:tcPr>
            <w:tcW w:w="9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72034D" w14:textId="77777777" w:rsidR="0055228C" w:rsidRPr="000E45B5" w:rsidRDefault="0055228C" w:rsidP="009A683A">
            <w:pPr>
              <w:spacing w:before="60" w:after="60"/>
            </w:pPr>
            <w:r w:rsidRPr="000E45B5">
              <w:rPr>
                <w:rFonts w:ascii="Titillium" w:hAnsi="Titillium" w:cs="Arial"/>
                <w:i/>
                <w:sz w:val="18"/>
                <w:szCs w:val="18"/>
              </w:rPr>
              <w:t xml:space="preserve">N.B. </w:t>
            </w:r>
            <w:r>
              <w:rPr>
                <w:rFonts w:ascii="Titillium" w:hAnsi="Titillium" w:cs="Arial"/>
                <w:i/>
                <w:sz w:val="18"/>
                <w:szCs w:val="18"/>
              </w:rPr>
              <w:t>Q</w:t>
            </w:r>
            <w:r w:rsidRPr="000E45B5">
              <w:rPr>
                <w:rFonts w:ascii="Titillium" w:hAnsi="Titillium" w:cs="Arial"/>
                <w:i/>
                <w:sz w:val="18"/>
                <w:szCs w:val="18"/>
              </w:rPr>
              <w:t>ualora la piattaforma utilizzata dalla stazione appaltante preveda che in caso di partecipazione di operatori riuniti o associati vengano autogenerate tante domande di partecipazione quanti sono i componenti del raggruppamento/ consorzio ordinario l’amministrazione definisce le modalità di presentazione e sottoscrizione delle stesse</w:t>
            </w:r>
            <w:r>
              <w:rPr>
                <w:rFonts w:ascii="Titillium" w:hAnsi="Titillium" w:cs="Arial"/>
                <w:i/>
                <w:sz w:val="18"/>
                <w:szCs w:val="18"/>
              </w:rPr>
              <w:t>.</w:t>
            </w:r>
          </w:p>
        </w:tc>
      </w:tr>
    </w:tbl>
    <w:p w14:paraId="628B900A" w14:textId="77777777" w:rsidR="0055228C" w:rsidRDefault="0055228C" w:rsidP="0055228C">
      <w:pPr>
        <w:pStyle w:val="Paragrafoelenco"/>
        <w:spacing w:before="60" w:after="60"/>
        <w:ind w:left="0"/>
      </w:pPr>
      <w:r>
        <w:rPr>
          <w:rFonts w:ascii="Titillium" w:hAnsi="Titillium" w:cs="Calibri"/>
          <w:sz w:val="18"/>
          <w:szCs w:val="18"/>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o tramite il </w:t>
      </w:r>
      <w:r w:rsidRPr="008866EE">
        <w:rPr>
          <w:rFonts w:ascii="Titillium" w:hAnsi="Titillium" w:cs="Calibri"/>
          <w:sz w:val="18"/>
          <w:szCs w:val="18"/>
        </w:rPr>
        <w:t>servizio @e.bollo</w:t>
      </w:r>
      <w:r>
        <w:rPr>
          <w:rFonts w:ascii="Calibri" w:hAnsi="Calibri" w:cs="Calibri"/>
          <w:sz w:val="18"/>
          <w:szCs w:val="18"/>
        </w:rPr>
        <w:t> </w:t>
      </w:r>
      <w:r>
        <w:rPr>
          <w:rFonts w:ascii="Titillium" w:hAnsi="Titillium" w:cs="Calibri"/>
          <w:sz w:val="18"/>
          <w:szCs w:val="18"/>
        </w:rPr>
        <w:t xml:space="preserve">dell'Agenzia delle Entrate o </w:t>
      </w:r>
      <w:r>
        <w:rPr>
          <w:rFonts w:ascii="Titillium" w:hAnsi="Titillium" w:cs="Calibri"/>
          <w:iCs/>
          <w:sz w:val="18"/>
          <w:szCs w:val="18"/>
        </w:rPr>
        <w:t xml:space="preserve">per gli operatori economici esteri tramite il pagamento del tributo con bonifico utilizzando il codice Iban IT07Y0100003245348008120501 e </w:t>
      </w:r>
      <w:r w:rsidRPr="00B8066C">
        <w:rPr>
          <w:rFonts w:ascii="Titillium" w:hAnsi="Titillium" w:cs="Calibri"/>
          <w:iCs/>
          <w:sz w:val="18"/>
          <w:szCs w:val="18"/>
        </w:rPr>
        <w:t>specificando nella causale la propria denominazione</w:t>
      </w:r>
      <w:r>
        <w:rPr>
          <w:rFonts w:ascii="Titillium" w:hAnsi="Titillium" w:cs="Calibri"/>
          <w:iCs/>
          <w:sz w:val="18"/>
          <w:szCs w:val="18"/>
        </w:rPr>
        <w:t>, codice fiscale (se presente)</w:t>
      </w:r>
      <w:r w:rsidRPr="00B8066C">
        <w:rPr>
          <w:rFonts w:ascii="Titillium" w:hAnsi="Titillium" w:cs="Calibri"/>
          <w:iCs/>
          <w:sz w:val="18"/>
          <w:szCs w:val="18"/>
        </w:rPr>
        <w:t xml:space="preserve"> e gli estremi dell'atto a cui si riferisce il pagamento</w:t>
      </w:r>
      <w:r>
        <w:rPr>
          <w:rFonts w:ascii="Titillium" w:hAnsi="Titillium" w:cs="Calibri"/>
          <w:iCs/>
          <w:sz w:val="18"/>
          <w:szCs w:val="18"/>
        </w:rPr>
        <w:t xml:space="preserve">. </w:t>
      </w:r>
      <w:r>
        <w:rPr>
          <w:rFonts w:ascii="Titillium" w:hAnsi="Titillium" w:cs="Calibri"/>
          <w:i/>
          <w:iCs/>
          <w:sz w:val="18"/>
          <w:szCs w:val="18"/>
        </w:rPr>
        <w:t xml:space="preserve"> </w:t>
      </w:r>
    </w:p>
    <w:p w14:paraId="1F21B444" w14:textId="77777777" w:rsidR="0055228C" w:rsidRDefault="0055228C" w:rsidP="0055228C">
      <w:pPr>
        <w:pStyle w:val="Paragrafoelenco"/>
        <w:spacing w:before="60" w:after="60"/>
        <w:ind w:left="0"/>
      </w:pPr>
      <w:r>
        <w:rPr>
          <w:rFonts w:ascii="Titillium" w:hAnsi="Titillium" w:cs="Calibri"/>
          <w:sz w:val="18"/>
          <w:szCs w:val="18"/>
        </w:rPr>
        <w:t>A comprova del pagamento, il concorrente allega la ricevuta di pagamento elettronico rilasciata dal sistema @e.bollo ovvero del bonifico bancario.</w:t>
      </w:r>
    </w:p>
    <w:p w14:paraId="6B0D4601" w14:textId="77777777" w:rsidR="0055228C" w:rsidRDefault="0055228C" w:rsidP="0055228C">
      <w:pPr>
        <w:pStyle w:val="Paragrafoelenco"/>
        <w:spacing w:before="60" w:after="60"/>
        <w:ind w:left="0"/>
      </w:pPr>
      <w:r>
        <w:rPr>
          <w:rFonts w:ascii="Titillium" w:hAnsi="Titillium" w:cs="Calibri"/>
          <w:iCs/>
          <w:sz w:val="18"/>
          <w:szCs w:val="18"/>
        </w:rPr>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tbl>
      <w:tblPr>
        <w:tblW w:w="9214" w:type="dxa"/>
        <w:tblInd w:w="-5" w:type="dxa"/>
        <w:tblLook w:val="04A0" w:firstRow="1" w:lastRow="0" w:firstColumn="1" w:lastColumn="0" w:noHBand="0" w:noVBand="1"/>
      </w:tblPr>
      <w:tblGrid>
        <w:gridCol w:w="9214"/>
      </w:tblGrid>
      <w:tr w:rsidR="0055228C" w14:paraId="141B5E91" w14:textId="77777777" w:rsidTr="009A683A">
        <w:tc>
          <w:tcPr>
            <w:tcW w:w="9214" w:type="dxa"/>
            <w:tcBorders>
              <w:top w:val="single" w:sz="4" w:space="0" w:color="000000"/>
              <w:left w:val="single" w:sz="4" w:space="0" w:color="000000"/>
              <w:bottom w:val="single" w:sz="4" w:space="0" w:color="000000"/>
              <w:right w:val="single" w:sz="4" w:space="0" w:color="000000"/>
            </w:tcBorders>
          </w:tcPr>
          <w:p w14:paraId="73E4303C" w14:textId="77777777" w:rsidR="0055228C" w:rsidRPr="00FF3FE8" w:rsidRDefault="0055228C" w:rsidP="009A683A">
            <w:pPr>
              <w:spacing w:before="60" w:after="60"/>
            </w:pPr>
            <w:r w:rsidRPr="00520001">
              <w:rPr>
                <w:rFonts w:ascii="Titillium" w:hAnsi="Titillium" w:cs="Arial"/>
                <w:i/>
                <w:sz w:val="18"/>
                <w:szCs w:val="18"/>
              </w:rPr>
              <w:t xml:space="preserve">N.B. Le stazioni appaltanti considerano le esenzioni dal pagamento dell'imposta di bollo di cui al </w:t>
            </w:r>
            <w:hyperlink r:id="rId18" w:tgtFrame="_blank">
              <w:r w:rsidRPr="00520001">
                <w:rPr>
                  <w:rFonts w:ascii="Titillium" w:hAnsi="Titillium"/>
                  <w:sz w:val="18"/>
                  <w:szCs w:val="18"/>
                </w:rPr>
                <w:t>Decreto del Presidente della Repubblica n. 642/72, allegato B e al Decreto legislativo  n. 117/17, articolo 82</w:t>
              </w:r>
            </w:hyperlink>
            <w:r w:rsidRPr="00520001">
              <w:t>.</w:t>
            </w:r>
          </w:p>
        </w:tc>
      </w:tr>
    </w:tbl>
    <w:p w14:paraId="28384792" w14:textId="031697D4" w:rsidR="004C53A8" w:rsidRDefault="004C667D">
      <w:pPr>
        <w:pStyle w:val="Titolo3"/>
        <w:numPr>
          <w:ilvl w:val="1"/>
          <w:numId w:val="4"/>
        </w:numPr>
        <w:ind w:left="426" w:hanging="426"/>
      </w:pPr>
      <w:bookmarkStart w:id="1853" w:name="_Toc95495902"/>
      <w:r>
        <w:rPr>
          <w:rFonts w:ascii="Titillium" w:hAnsi="Titillium"/>
          <w:caps w:val="0"/>
          <w:sz w:val="18"/>
          <w:szCs w:val="18"/>
          <w:lang w:val="it-IT"/>
        </w:rPr>
        <w:t>D</w:t>
      </w:r>
      <w:r>
        <w:rPr>
          <w:rFonts w:ascii="Titillium" w:hAnsi="Titillium"/>
          <w:caps w:val="0"/>
          <w:sz w:val="18"/>
          <w:szCs w:val="18"/>
        </w:rPr>
        <w:t>OCUMENTO DI GARA UNICO EUROPEO</w:t>
      </w:r>
      <w:bookmarkEnd w:id="1851"/>
      <w:bookmarkEnd w:id="1852"/>
      <w:bookmarkEnd w:id="1853"/>
    </w:p>
    <w:p w14:paraId="121E867B" w14:textId="31AAA0F1" w:rsidR="004C53A8" w:rsidRDefault="00870286">
      <w:pPr>
        <w:spacing w:before="60" w:after="60"/>
      </w:pPr>
      <w:r>
        <w:rPr>
          <w:rFonts w:ascii="Titillium" w:hAnsi="Titillium" w:cs="Arial"/>
          <w:sz w:val="18"/>
          <w:szCs w:val="18"/>
        </w:rPr>
        <w:t>Il concorrente compila</w:t>
      </w:r>
      <w:r w:rsidR="009C66BC">
        <w:rPr>
          <w:rFonts w:ascii="Titillium" w:hAnsi="Titillium" w:cs="Arial"/>
          <w:sz w:val="18"/>
          <w:szCs w:val="18"/>
        </w:rPr>
        <w:t xml:space="preserve"> </w:t>
      </w:r>
      <w:r w:rsidR="000154AA" w:rsidRPr="000154AA">
        <w:rPr>
          <w:rFonts w:ascii="Titillium" w:hAnsi="Titillium" w:cs="Arial"/>
          <w:sz w:val="18"/>
          <w:szCs w:val="18"/>
        </w:rPr>
        <w:t>[</w:t>
      </w:r>
      <w:r w:rsidR="000154AA">
        <w:rPr>
          <w:rFonts w:ascii="Titillium" w:hAnsi="Titillium" w:cs="Arial"/>
          <w:b/>
          <w:sz w:val="18"/>
          <w:szCs w:val="18"/>
        </w:rPr>
        <w:t>e</w:t>
      </w:r>
      <w:r w:rsidR="009C66BC" w:rsidRPr="009C66BC">
        <w:rPr>
          <w:rFonts w:ascii="Titillium" w:hAnsi="Titillium" w:cs="Arial"/>
          <w:b/>
          <w:sz w:val="18"/>
          <w:szCs w:val="18"/>
        </w:rPr>
        <w:t>ventualmente</w:t>
      </w:r>
      <w:r>
        <w:rPr>
          <w:rFonts w:ascii="Titillium" w:hAnsi="Titillium" w:cs="Arial"/>
          <w:sz w:val="18"/>
          <w:szCs w:val="18"/>
        </w:rPr>
        <w:t xml:space="preserve">, </w:t>
      </w:r>
      <w:r w:rsidR="009C66BC">
        <w:rPr>
          <w:rFonts w:ascii="Titillium" w:hAnsi="Titillium" w:cs="Arial"/>
          <w:sz w:val="18"/>
          <w:szCs w:val="18"/>
        </w:rPr>
        <w:t>per ciascun lotto</w:t>
      </w:r>
      <w:r w:rsidR="000154AA">
        <w:rPr>
          <w:rFonts w:ascii="Titillium" w:hAnsi="Titillium" w:cs="Arial"/>
          <w:sz w:val="18"/>
          <w:szCs w:val="18"/>
        </w:rPr>
        <w:t>]</w:t>
      </w:r>
      <w:r>
        <w:rPr>
          <w:rFonts w:ascii="Titillium" w:hAnsi="Titillium" w:cs="Arial"/>
          <w:sz w:val="18"/>
          <w:szCs w:val="18"/>
        </w:rPr>
        <w:t xml:space="preserve"> il Documento di gara unico europeo di cui allo schema allegato. Presenta, inoltre, il Documento di gara unico europeo per ciascuna ausiliaria, dal quale risulti il possesso dei requisiti di cui all’articolo 6 e compilato per le parti relative ai requisiti oggetto di avvalimento.</w:t>
      </w:r>
    </w:p>
    <w:p w14:paraId="0833229F" w14:textId="42F96D27" w:rsidR="004C53A8" w:rsidRDefault="00521063">
      <w:pPr>
        <w:tabs>
          <w:tab w:val="left" w:pos="0"/>
          <w:tab w:val="left" w:pos="4340"/>
        </w:tabs>
        <w:suppressAutoHyphens/>
        <w:spacing w:line="240" w:lineRule="auto"/>
        <w:textAlignment w:val="baseline"/>
      </w:pPr>
      <w:r>
        <w:rPr>
          <w:rFonts w:ascii="Titillium" w:hAnsi="Titillium" w:cs="Arial"/>
          <w:sz w:val="18"/>
          <w:szCs w:val="18"/>
        </w:rPr>
        <w:t xml:space="preserve">Il </w:t>
      </w:r>
      <w:r w:rsidR="00870286">
        <w:rPr>
          <w:rFonts w:ascii="Titillium" w:hAnsi="Titillium" w:cs="Arial"/>
          <w:sz w:val="18"/>
          <w:szCs w:val="18"/>
        </w:rPr>
        <w:t>Documento di gara unico europeo deve essere presentato:</w:t>
      </w:r>
    </w:p>
    <w:p w14:paraId="2CC3DD58" w14:textId="77777777" w:rsidR="004C53A8" w:rsidRDefault="00870286" w:rsidP="00521063">
      <w:pPr>
        <w:tabs>
          <w:tab w:val="left" w:pos="284"/>
          <w:tab w:val="left" w:pos="4340"/>
        </w:tabs>
        <w:suppressAutoHyphens/>
        <w:spacing w:line="240" w:lineRule="auto"/>
        <w:ind w:left="142" w:hanging="142"/>
        <w:textAlignment w:val="baseline"/>
        <w:rPr>
          <w:rFonts w:ascii="Titillium" w:hAnsi="Titillium" w:cs="Arial"/>
          <w:sz w:val="18"/>
          <w:szCs w:val="18"/>
        </w:rPr>
      </w:pPr>
      <w:r>
        <w:rPr>
          <w:rFonts w:ascii="Titillium" w:hAnsi="Titillium" w:cs="Arial"/>
          <w:sz w:val="18"/>
          <w:szCs w:val="18"/>
        </w:rPr>
        <w:t>- nel caso di raggruppamenti temporanei, consorzi ordinari, GEIE, da tutti gli operatori economici che partecipano alla procedura in forma congiunta;</w:t>
      </w:r>
    </w:p>
    <w:p w14:paraId="710F398E" w14:textId="77777777" w:rsidR="004C53A8" w:rsidRDefault="00870286" w:rsidP="00521063">
      <w:pPr>
        <w:tabs>
          <w:tab w:val="left" w:pos="284"/>
          <w:tab w:val="left" w:pos="4340"/>
        </w:tabs>
        <w:suppressAutoHyphens/>
        <w:spacing w:line="240" w:lineRule="auto"/>
        <w:ind w:left="142" w:hanging="142"/>
        <w:textAlignment w:val="baseline"/>
        <w:rPr>
          <w:rFonts w:ascii="Titillium" w:hAnsi="Titillium" w:cs="Arial"/>
          <w:sz w:val="18"/>
          <w:szCs w:val="18"/>
        </w:rPr>
      </w:pPr>
      <w:r>
        <w:rPr>
          <w:rFonts w:ascii="Titillium" w:hAnsi="Titillium" w:cs="Arial"/>
          <w:sz w:val="18"/>
          <w:szCs w:val="18"/>
        </w:rPr>
        <w:t>- nel caso di aggregazioni di imprese di rete da ognuna delle imprese retiste, se l’intera rete partecipa, ovvero dall’organo comune e dalle singole imprese retiste indicate;</w:t>
      </w:r>
    </w:p>
    <w:p w14:paraId="13BEFF53" w14:textId="1F57CC19" w:rsidR="004C53A8" w:rsidRDefault="00870286" w:rsidP="00521063">
      <w:pPr>
        <w:pStyle w:val="Paragrafoelenco"/>
        <w:tabs>
          <w:tab w:val="left" w:pos="284"/>
        </w:tabs>
        <w:spacing w:before="60" w:after="60"/>
        <w:ind w:left="142" w:hanging="142"/>
      </w:pPr>
      <w:r>
        <w:rPr>
          <w:rFonts w:ascii="Titillium" w:eastAsia="Times New Roman" w:hAnsi="Titillium" w:cs="Arial"/>
          <w:sz w:val="18"/>
          <w:szCs w:val="18"/>
          <w:lang w:eastAsia="en-US"/>
        </w:rPr>
        <w:t>- nel caso di consorzi cooperativi, di consorzi artigiani e di consorzi stabili, dal consorzio e dai consorziati per conto dei quali il consorzio concorre.</w:t>
      </w:r>
      <w:r w:rsidR="008872F1">
        <w:t xml:space="preserve"> </w:t>
      </w:r>
    </w:p>
    <w:tbl>
      <w:tblPr>
        <w:tblW w:w="9356" w:type="dxa"/>
        <w:tblInd w:w="-5" w:type="dxa"/>
        <w:tblLook w:val="04A0" w:firstRow="1" w:lastRow="0" w:firstColumn="1" w:lastColumn="0" w:noHBand="0" w:noVBand="1"/>
      </w:tblPr>
      <w:tblGrid>
        <w:gridCol w:w="9356"/>
      </w:tblGrid>
      <w:tr w:rsidR="004C53A8" w14:paraId="26C1820F" w14:textId="77777777" w:rsidTr="00B81529">
        <w:tc>
          <w:tcPr>
            <w:tcW w:w="9356" w:type="dxa"/>
            <w:tcBorders>
              <w:top w:val="single" w:sz="4" w:space="0" w:color="000000"/>
              <w:left w:val="single" w:sz="4" w:space="0" w:color="000000"/>
              <w:bottom w:val="single" w:sz="4" w:space="0" w:color="000000"/>
              <w:right w:val="single" w:sz="4" w:space="0" w:color="000000"/>
            </w:tcBorders>
          </w:tcPr>
          <w:p w14:paraId="5959D03D" w14:textId="52193C0D" w:rsidR="009C66BC" w:rsidRDefault="00870286" w:rsidP="0006740A">
            <w:pPr>
              <w:spacing w:before="60" w:after="60"/>
              <w:rPr>
                <w:rFonts w:ascii="Titillium" w:hAnsi="Titillium" w:cs="Arial"/>
                <w:i/>
                <w:sz w:val="18"/>
                <w:szCs w:val="18"/>
              </w:rPr>
            </w:pPr>
            <w:r w:rsidRPr="00B81529">
              <w:rPr>
                <w:rFonts w:ascii="Titillium" w:hAnsi="Titillium" w:cs="Arial"/>
                <w:i/>
                <w:sz w:val="18"/>
                <w:szCs w:val="18"/>
              </w:rPr>
              <w:t xml:space="preserve">N.B. </w:t>
            </w:r>
            <w:r w:rsidR="009C66BC">
              <w:rPr>
                <w:rFonts w:ascii="Titillium" w:hAnsi="Titillium" w:cs="Arial"/>
                <w:i/>
                <w:sz w:val="18"/>
                <w:szCs w:val="18"/>
              </w:rPr>
              <w:t xml:space="preserve">Nel caso di gara divisa in lotti in cui sono previsti criteri di selezione diversi, il disciplinare deve </w:t>
            </w:r>
            <w:r w:rsidR="00466E61">
              <w:rPr>
                <w:rFonts w:ascii="Titillium" w:hAnsi="Titillium" w:cs="Arial"/>
                <w:i/>
                <w:sz w:val="18"/>
                <w:szCs w:val="18"/>
              </w:rPr>
              <w:t>richiedere</w:t>
            </w:r>
            <w:r w:rsidR="009C66BC">
              <w:rPr>
                <w:rFonts w:ascii="Titillium" w:hAnsi="Titillium" w:cs="Arial"/>
                <w:i/>
                <w:sz w:val="18"/>
                <w:szCs w:val="18"/>
              </w:rPr>
              <w:t xml:space="preserve"> tanti DGUE distinti quanti sono i lotti in cui il concorrente intende partecipare. Se vi sono lotti per i quali sono </w:t>
            </w:r>
            <w:r w:rsidR="00466E61">
              <w:rPr>
                <w:rFonts w:ascii="Titillium" w:hAnsi="Titillium" w:cs="Arial"/>
                <w:i/>
                <w:sz w:val="18"/>
                <w:szCs w:val="18"/>
              </w:rPr>
              <w:t>previsti</w:t>
            </w:r>
            <w:r w:rsidR="009C66BC">
              <w:rPr>
                <w:rFonts w:ascii="Titillium" w:hAnsi="Titillium" w:cs="Arial"/>
                <w:i/>
                <w:sz w:val="18"/>
                <w:szCs w:val="18"/>
              </w:rPr>
              <w:t xml:space="preserve"> i medesimi criteri di selezione, la stazione appaltante può prevedere la presentazione di un unico DGUE per quei lotti.</w:t>
            </w:r>
          </w:p>
          <w:p w14:paraId="44024944" w14:textId="61A476A1" w:rsidR="004C53A8" w:rsidRPr="00B950AB" w:rsidRDefault="00870286" w:rsidP="00463C32">
            <w:pPr>
              <w:spacing w:before="60" w:after="60"/>
            </w:pPr>
            <w:r w:rsidRPr="00D84343">
              <w:rPr>
                <w:rFonts w:ascii="Titillium" w:hAnsi="Titillium" w:cs="Arial"/>
                <w:i/>
                <w:iCs/>
                <w:sz w:val="18"/>
                <w:szCs w:val="18"/>
              </w:rPr>
              <w:t xml:space="preserve">Nel caso in cui le informazioni contenute nel DGUE non siano </w:t>
            </w:r>
            <w:r w:rsidR="008872F1" w:rsidRPr="00D84343">
              <w:rPr>
                <w:rFonts w:ascii="Titillium" w:hAnsi="Titillium" w:cs="Arial"/>
                <w:i/>
                <w:iCs/>
                <w:sz w:val="18"/>
                <w:szCs w:val="18"/>
              </w:rPr>
              <w:t>ritenute sufficienti</w:t>
            </w:r>
            <w:r w:rsidRPr="00D84343">
              <w:rPr>
                <w:rFonts w:ascii="Titillium" w:hAnsi="Titillium" w:cs="Arial"/>
                <w:i/>
                <w:iCs/>
                <w:sz w:val="18"/>
                <w:szCs w:val="18"/>
              </w:rPr>
              <w:t>, la stazione appaltante chiede ai concorrenti la presentazione di una dichiarazione integrativa che copra le informazioni non previste dal DGUE o non aggiornate.</w:t>
            </w:r>
          </w:p>
        </w:tc>
      </w:tr>
    </w:tbl>
    <w:p w14:paraId="68A73072" w14:textId="77777777" w:rsidR="004C53A8" w:rsidRDefault="004C53A8" w:rsidP="004C667D">
      <w:pPr>
        <w:pStyle w:val="NormaleWeb"/>
      </w:pPr>
    </w:p>
    <w:p w14:paraId="70FA6BB0" w14:textId="6F757A4A" w:rsidR="004C53A8" w:rsidRDefault="004C667D">
      <w:pPr>
        <w:pStyle w:val="Titolo3"/>
        <w:numPr>
          <w:ilvl w:val="1"/>
          <w:numId w:val="4"/>
        </w:numPr>
        <w:spacing w:before="60"/>
        <w:ind w:left="426" w:hanging="426"/>
      </w:pPr>
      <w:bookmarkStart w:id="1854" w:name="_Toc95495903"/>
      <w:r>
        <w:rPr>
          <w:rFonts w:ascii="Titillium" w:hAnsi="Titillium"/>
          <w:caps w:val="0"/>
          <w:sz w:val="18"/>
          <w:szCs w:val="18"/>
        </w:rPr>
        <w:t>DICHIARAZIONE INTEGRATIVA PER GLI OPERATORI ECONOMICI AMMESSI AL CONCORDATO PREVENTIVO CON CONTINUITÀ AZIENDALE DI CUI ALL’ARTICOLO 186 BIS DEL R.D. 16 MARZO 1942, N. 267</w:t>
      </w:r>
      <w:bookmarkEnd w:id="1854"/>
    </w:p>
    <w:p w14:paraId="52023CD1" w14:textId="2BF52B94" w:rsidR="004C53A8" w:rsidRDefault="00870286">
      <w:pPr>
        <w:spacing w:before="60" w:after="60"/>
      </w:pPr>
      <w:r>
        <w:rPr>
          <w:rFonts w:ascii="Titillium" w:hAnsi="Titillium" w:cs="Calibri"/>
          <w:sz w:val="18"/>
          <w:szCs w:val="18"/>
          <w:lang w:eastAsia="it-IT"/>
        </w:rPr>
        <w:t>Il concorrente dichiara, inoltre, ai sensi degli articoli 46 e 47 del decreto del Presidente della Repubblica n. 445/</w:t>
      </w:r>
      <w:r w:rsidR="00521063">
        <w:rPr>
          <w:rFonts w:ascii="Titillium" w:hAnsi="Titillium" w:cs="Calibri"/>
          <w:sz w:val="18"/>
          <w:szCs w:val="18"/>
          <w:lang w:eastAsia="it-IT"/>
        </w:rPr>
        <w:t>20</w:t>
      </w:r>
      <w:r>
        <w:rPr>
          <w:rFonts w:ascii="Titillium" w:hAnsi="Titillium" w:cs="Calibri"/>
          <w:sz w:val="18"/>
          <w:szCs w:val="18"/>
          <w:lang w:eastAsia="it-IT"/>
        </w:rPr>
        <w:t>00 gl</w:t>
      </w:r>
      <w:r>
        <w:rPr>
          <w:rFonts w:ascii="Titillium" w:hAnsi="Titillium" w:cs="Calibri"/>
          <w:sz w:val="18"/>
          <w:szCs w:val="18"/>
        </w:rPr>
        <w:t xml:space="preserve">i </w:t>
      </w:r>
      <w:r>
        <w:rPr>
          <w:rFonts w:ascii="Titillium" w:hAnsi="Titillium" w:cs="Garamond"/>
          <w:sz w:val="18"/>
          <w:szCs w:val="18"/>
        </w:rPr>
        <w:t xml:space="preserve">estremi del </w:t>
      </w:r>
      <w:r>
        <w:rPr>
          <w:rFonts w:ascii="Titillium" w:hAnsi="Titillium" w:cs="Garamond-Italic"/>
          <w:iCs/>
          <w:sz w:val="18"/>
          <w:szCs w:val="18"/>
        </w:rPr>
        <w:t xml:space="preserve">provvedimento di ammissione al concordato e del provvedimento di autorizzazione a partecipare alle gare, </w:t>
      </w:r>
      <w:r>
        <w:rPr>
          <w:rFonts w:ascii="Titillium" w:hAnsi="Titillium" w:cs="Calibri"/>
          <w:sz w:val="18"/>
          <w:szCs w:val="18"/>
        </w:rPr>
        <w:t>nonché dichiara di non partecipare alla gara quale mandataria di un raggruppamento temporaneo di imprese e che le altre imprese aderenti al raggruppamento non sono assoggettate ad una procedura concorsuale ai sensi dell’articolo 186-</w:t>
      </w:r>
      <w:r>
        <w:rPr>
          <w:rFonts w:ascii="Titillium" w:hAnsi="Titillium" w:cs="Calibri"/>
          <w:i/>
          <w:sz w:val="18"/>
          <w:szCs w:val="18"/>
        </w:rPr>
        <w:t>bis,</w:t>
      </w:r>
      <w:r>
        <w:rPr>
          <w:rFonts w:ascii="Titillium" w:hAnsi="Titillium" w:cs="Calibri"/>
          <w:sz w:val="18"/>
          <w:szCs w:val="18"/>
        </w:rPr>
        <w:t xml:space="preserve"> com</w:t>
      </w:r>
      <w:bookmarkStart w:id="1855" w:name="_Ref496787048"/>
      <w:bookmarkEnd w:id="1855"/>
      <w:r>
        <w:rPr>
          <w:rFonts w:ascii="Titillium" w:hAnsi="Titillium" w:cs="Calibri"/>
          <w:sz w:val="18"/>
          <w:szCs w:val="18"/>
        </w:rPr>
        <w:t>ma 6 del Regio Decreto 16 marzo 1942,</w:t>
      </w:r>
      <w:bookmarkStart w:id="1856" w:name="_Ref501016558"/>
      <w:bookmarkEnd w:id="1856"/>
      <w:r>
        <w:rPr>
          <w:rFonts w:ascii="Titillium" w:hAnsi="Titillium" w:cs="Calibri"/>
          <w:sz w:val="18"/>
          <w:szCs w:val="18"/>
        </w:rPr>
        <w:t xml:space="preserve"> n. 267.</w:t>
      </w:r>
    </w:p>
    <w:p w14:paraId="3AE3FDC2" w14:textId="1E01386B" w:rsidR="004C53A8" w:rsidRDefault="00870286">
      <w:pPr>
        <w:spacing w:before="60" w:after="60"/>
      </w:pPr>
      <w:r>
        <w:rPr>
          <w:rFonts w:ascii="Titillium" w:hAnsi="Titillium" w:cs="Calibri"/>
          <w:sz w:val="18"/>
          <w:szCs w:val="18"/>
        </w:rPr>
        <w:t xml:space="preserve">Il concorrente presenta una relazione di un professionista in possesso dei requisiti di cui </w:t>
      </w:r>
      <w:r w:rsidRPr="008872F1">
        <w:rPr>
          <w:rFonts w:ascii="Titillium" w:hAnsi="Titillium" w:cs="Calibri"/>
          <w:sz w:val="18"/>
          <w:szCs w:val="18"/>
        </w:rPr>
        <w:t>all'</w:t>
      </w:r>
      <w:hyperlink r:id="rId19">
        <w:r w:rsidRPr="008872F1">
          <w:rPr>
            <w:rStyle w:val="CollegamentoInternet"/>
            <w:rFonts w:ascii="Titillium" w:hAnsi="Titillium" w:cs="Calibri"/>
            <w:color w:val="auto"/>
            <w:sz w:val="18"/>
            <w:szCs w:val="18"/>
            <w:u w:val="none"/>
          </w:rPr>
          <w:t>articolo 67</w:t>
        </w:r>
      </w:hyperlink>
      <w:r w:rsidRPr="008872F1">
        <w:rPr>
          <w:rFonts w:ascii="Titillium" w:hAnsi="Titillium" w:cs="Calibri"/>
          <w:sz w:val="18"/>
          <w:szCs w:val="18"/>
        </w:rPr>
        <w:t>, terzo comma</w:t>
      </w:r>
      <w:r>
        <w:rPr>
          <w:rFonts w:ascii="Titillium" w:hAnsi="Titillium" w:cs="Calibri"/>
          <w:sz w:val="18"/>
          <w:szCs w:val="18"/>
        </w:rPr>
        <w:t>, lettera d), del Regio Decreto 16 marzo 1942, n. 267, che attesta la conformità al piano e la ragionevole capacità di adempimento del contratto.</w:t>
      </w:r>
    </w:p>
    <w:p w14:paraId="05FAE105" w14:textId="1AE38888" w:rsidR="004C53A8" w:rsidRDefault="004C667D">
      <w:pPr>
        <w:pStyle w:val="Titolo3"/>
        <w:numPr>
          <w:ilvl w:val="1"/>
          <w:numId w:val="4"/>
        </w:numPr>
        <w:ind w:left="426" w:hanging="426"/>
      </w:pPr>
      <w:bookmarkStart w:id="1857" w:name="_Toc95495904"/>
      <w:r>
        <w:rPr>
          <w:rFonts w:ascii="Titillium" w:hAnsi="Titillium"/>
          <w:caps w:val="0"/>
          <w:sz w:val="18"/>
          <w:szCs w:val="18"/>
        </w:rPr>
        <w:t>DOCUMENTAZIONE IN CASO DI AVVALIMENTO</w:t>
      </w:r>
      <w:bookmarkEnd w:id="1857"/>
    </w:p>
    <w:p w14:paraId="049742A7" w14:textId="77777777" w:rsidR="004C53A8" w:rsidRDefault="00870286">
      <w:pPr>
        <w:spacing w:before="60" w:after="60"/>
        <w:rPr>
          <w:rFonts w:ascii="Titillium" w:hAnsi="Titillium" w:cs="Calibri"/>
          <w:sz w:val="18"/>
          <w:szCs w:val="18"/>
          <w:u w:val="single"/>
        </w:rPr>
      </w:pPr>
      <w:r>
        <w:rPr>
          <w:rFonts w:ascii="Titillium" w:hAnsi="Titillium" w:cs="Calibri"/>
          <w:sz w:val="18"/>
          <w:szCs w:val="18"/>
          <w:u w:val="single"/>
        </w:rPr>
        <w:t>Il concorrente, per ciascuna ausiliaria, allega:</w:t>
      </w:r>
    </w:p>
    <w:p w14:paraId="39E4BF3C"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il DGUE a firma dell’ausiliaria;</w:t>
      </w:r>
    </w:p>
    <w:p w14:paraId="17892DFA"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la dichiarazione di avvalimento;</w:t>
      </w:r>
    </w:p>
    <w:p w14:paraId="04B586BF"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il contratto di avvalimento;</w:t>
      </w:r>
    </w:p>
    <w:p w14:paraId="42FF0655" w14:textId="043D66D9" w:rsidR="004C53A8" w:rsidRDefault="00870286" w:rsidP="0022153A">
      <w:pPr>
        <w:pStyle w:val="Paragrafoelenco"/>
        <w:numPr>
          <w:ilvl w:val="2"/>
          <w:numId w:val="17"/>
        </w:numPr>
        <w:spacing w:before="60" w:after="60"/>
        <w:ind w:left="567" w:hanging="567"/>
      </w:pPr>
      <w:r>
        <w:rPr>
          <w:rFonts w:ascii="Titillium" w:hAnsi="Titillium" w:cs="Calibri"/>
          <w:sz w:val="18"/>
          <w:szCs w:val="18"/>
        </w:rPr>
        <w:t>[</w:t>
      </w:r>
      <w:r>
        <w:rPr>
          <w:rFonts w:ascii="Titillium" w:hAnsi="Titillium" w:cs="Calibri"/>
          <w:i/>
          <w:sz w:val="18"/>
          <w:szCs w:val="18"/>
        </w:rPr>
        <w:t xml:space="preserve">facoltativo in caso di ricorso ad </w:t>
      </w:r>
      <w:r w:rsidR="008062A2">
        <w:rPr>
          <w:rFonts w:ascii="Titillium" w:hAnsi="Titillium" w:cs="Calibri"/>
          <w:i/>
          <w:sz w:val="18"/>
          <w:szCs w:val="18"/>
        </w:rPr>
        <w:t>AVCpass</w:t>
      </w:r>
      <w:r>
        <w:rPr>
          <w:rFonts w:ascii="Titillium" w:hAnsi="Titillium" w:cs="Calibri"/>
          <w:sz w:val="18"/>
          <w:szCs w:val="18"/>
        </w:rPr>
        <w:t>] il PASSOE dell’ausiliaria.</w:t>
      </w:r>
    </w:p>
    <w:p w14:paraId="1BA6956A" w14:textId="078EA3FC" w:rsidR="004C53A8" w:rsidRPr="00C7509A" w:rsidRDefault="004C667D">
      <w:pPr>
        <w:pStyle w:val="Titolo3"/>
        <w:numPr>
          <w:ilvl w:val="1"/>
          <w:numId w:val="4"/>
        </w:numPr>
        <w:ind w:left="426" w:hanging="426"/>
      </w:pPr>
      <w:bookmarkStart w:id="1858" w:name="_Toc95495905"/>
      <w:r w:rsidRPr="00C7509A">
        <w:rPr>
          <w:rFonts w:ascii="Titillium" w:hAnsi="Titillium"/>
          <w:caps w:val="0"/>
          <w:sz w:val="18"/>
          <w:szCs w:val="18"/>
        </w:rPr>
        <w:t xml:space="preserve">CAMPIONI </w:t>
      </w:r>
      <w:r w:rsidRPr="00C7509A">
        <w:rPr>
          <w:rFonts w:ascii="Titillium" w:hAnsi="Titillium" w:cs="Arial"/>
          <w:i/>
          <w:caps w:val="0"/>
          <w:sz w:val="18"/>
          <w:szCs w:val="18"/>
        </w:rPr>
        <w:t xml:space="preserve">[IN CASO DI </w:t>
      </w:r>
      <w:r w:rsidR="005B2AEB" w:rsidRPr="00C7509A">
        <w:rPr>
          <w:rFonts w:ascii="Titillium" w:hAnsi="Titillium" w:cs="Arial"/>
          <w:i/>
          <w:caps w:val="0"/>
          <w:sz w:val="18"/>
          <w:szCs w:val="18"/>
          <w:lang w:val="it-IT"/>
        </w:rPr>
        <w:t xml:space="preserve">RICHIESTA DI </w:t>
      </w:r>
      <w:r w:rsidRPr="00C7509A">
        <w:rPr>
          <w:rFonts w:ascii="Titillium" w:hAnsi="Titillium" w:cs="Arial"/>
          <w:i/>
          <w:caps w:val="0"/>
          <w:sz w:val="18"/>
          <w:szCs w:val="18"/>
        </w:rPr>
        <w:t>P</w:t>
      </w:r>
      <w:r w:rsidRPr="00C7509A">
        <w:rPr>
          <w:rFonts w:ascii="Titillium" w:hAnsi="Titillium" w:cs="Calibri"/>
          <w:i/>
          <w:caps w:val="0"/>
          <w:sz w:val="18"/>
          <w:szCs w:val="18"/>
        </w:rPr>
        <w:t>RESENTAZIONE DI CAMPIONI]</w:t>
      </w:r>
      <w:bookmarkEnd w:id="1858"/>
      <w:r w:rsidRPr="00C7509A">
        <w:rPr>
          <w:rFonts w:ascii="Titillium" w:hAnsi="Titillium" w:cs="Calibri"/>
          <w:i/>
          <w:caps w:val="0"/>
          <w:sz w:val="18"/>
          <w:szCs w:val="18"/>
        </w:rPr>
        <w:t xml:space="preserve"> </w:t>
      </w:r>
    </w:p>
    <w:p w14:paraId="60BEC6B8" w14:textId="4B72C021" w:rsidR="004C53A8" w:rsidRDefault="00870286" w:rsidP="00521063">
      <w:pPr>
        <w:pStyle w:val="Paragrafoelenco"/>
        <w:spacing w:before="60" w:after="60"/>
        <w:ind w:left="0"/>
      </w:pPr>
      <w:r w:rsidRPr="00C7509A">
        <w:rPr>
          <w:rFonts w:ascii="Titillium" w:hAnsi="Titillium"/>
          <w:sz w:val="18"/>
          <w:szCs w:val="18"/>
        </w:rPr>
        <w:t xml:space="preserve">Il concorrente deve consegnare entro il termine di scadenza dell’offerta i campioni di cui </w:t>
      </w:r>
      <w:r w:rsidRPr="00843077">
        <w:rPr>
          <w:rFonts w:ascii="Titillium" w:hAnsi="Titillium"/>
          <w:sz w:val="18"/>
          <w:szCs w:val="18"/>
        </w:rPr>
        <w:t>a</w:t>
      </w:r>
      <w:r w:rsidR="00C7509A" w:rsidRPr="00472411">
        <w:rPr>
          <w:rFonts w:ascii="Titillium" w:hAnsi="Titillium"/>
          <w:sz w:val="18"/>
          <w:szCs w:val="18"/>
        </w:rPr>
        <w:t>ll’articolo</w:t>
      </w:r>
      <w:r w:rsidRPr="00843077">
        <w:rPr>
          <w:rFonts w:ascii="Titillium" w:hAnsi="Titillium"/>
          <w:sz w:val="18"/>
          <w:szCs w:val="18"/>
        </w:rPr>
        <w:t xml:space="preserve"> 7.3, lettera s</w:t>
      </w:r>
      <w:r w:rsidR="00C7509A" w:rsidRPr="00472411">
        <w:rPr>
          <w:rFonts w:ascii="Titillium" w:hAnsi="Titillium"/>
          <w:sz w:val="18"/>
          <w:szCs w:val="18"/>
        </w:rPr>
        <w:t xml:space="preserve">. </w:t>
      </w:r>
    </w:p>
    <w:p w14:paraId="007121C7" w14:textId="3062212E" w:rsidR="004C53A8" w:rsidRDefault="004C667D">
      <w:pPr>
        <w:pStyle w:val="Titolo3"/>
        <w:numPr>
          <w:ilvl w:val="1"/>
          <w:numId w:val="4"/>
        </w:numPr>
        <w:ind w:left="426" w:hanging="426"/>
        <w:rPr>
          <w:rFonts w:ascii="Titillium" w:hAnsi="Titillium"/>
          <w:sz w:val="18"/>
          <w:szCs w:val="18"/>
        </w:rPr>
      </w:pPr>
      <w:bookmarkStart w:id="1859" w:name="_Ref498427979"/>
      <w:bookmarkStart w:id="1860" w:name="_Toc95495906"/>
      <w:r>
        <w:rPr>
          <w:rFonts w:ascii="Titillium" w:hAnsi="Titillium"/>
          <w:caps w:val="0"/>
          <w:sz w:val="18"/>
          <w:szCs w:val="18"/>
        </w:rPr>
        <w:t>DOCUMENTAZIONE ULTERIORE PER I SOGGETTI ASSOCIATI</w:t>
      </w:r>
      <w:bookmarkEnd w:id="1859"/>
      <w:bookmarkEnd w:id="1860"/>
    </w:p>
    <w:p w14:paraId="0F29791B" w14:textId="77777777" w:rsidR="004C53A8" w:rsidRDefault="00870286">
      <w:pPr>
        <w:spacing w:before="60" w:after="60"/>
        <w:rPr>
          <w:rFonts w:ascii="Titillium" w:hAnsi="Titillium"/>
          <w:b/>
          <w:sz w:val="18"/>
          <w:szCs w:val="18"/>
        </w:rPr>
      </w:pPr>
      <w:r>
        <w:rPr>
          <w:rFonts w:ascii="Titillium" w:hAnsi="Titillium"/>
          <w:b/>
          <w:sz w:val="18"/>
          <w:szCs w:val="18"/>
        </w:rPr>
        <w:t>Per i raggruppamenti temporanei già costituiti</w:t>
      </w:r>
    </w:p>
    <w:p w14:paraId="4517C1EC" w14:textId="67AE291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copia del mandato collettivo irrevocabile con rappresentanza conferito alla mandataria per atto pubblico o scrittura privata autenticata</w:t>
      </w:r>
      <w:r w:rsidR="005D2897">
        <w:rPr>
          <w:rFonts w:ascii="Titillium" w:hAnsi="Titillium" w:cs="Calibri"/>
          <w:sz w:val="18"/>
          <w:szCs w:val="18"/>
        </w:rPr>
        <w:t>;</w:t>
      </w:r>
    </w:p>
    <w:p w14:paraId="3B775A28" w14:textId="7777777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 xml:space="preserve">dichiarazione delle parti del servizio/fornitura, ovvero della percentuale in caso di servizio/forniture indivisibili, che saranno eseguite dai singoli operatori economici riuniti o consorziati. </w:t>
      </w:r>
    </w:p>
    <w:p w14:paraId="6CCA8366" w14:textId="77777777" w:rsidR="004C53A8" w:rsidRDefault="00870286">
      <w:pPr>
        <w:spacing w:before="60" w:after="60"/>
        <w:rPr>
          <w:rFonts w:ascii="Titillium" w:hAnsi="Titillium"/>
          <w:b/>
          <w:sz w:val="18"/>
          <w:szCs w:val="18"/>
        </w:rPr>
      </w:pPr>
      <w:r>
        <w:rPr>
          <w:rFonts w:ascii="Titillium" w:hAnsi="Titillium"/>
          <w:b/>
          <w:sz w:val="18"/>
          <w:szCs w:val="18"/>
        </w:rPr>
        <w:t>Per i consorzi ordinari o GEIE già costituiti</w:t>
      </w:r>
    </w:p>
    <w:p w14:paraId="301FDC36" w14:textId="677D8F2F"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copia dell’atto costitutivo e dello statuto del consorzio o GEIE, con indicazione del so</w:t>
      </w:r>
      <w:r w:rsidR="005D2897">
        <w:rPr>
          <w:rFonts w:ascii="Titillium" w:hAnsi="Titillium" w:cs="Calibri"/>
          <w:sz w:val="18"/>
          <w:szCs w:val="18"/>
        </w:rPr>
        <w:t>ggetto designato quale capofila;</w:t>
      </w:r>
      <w:r>
        <w:rPr>
          <w:rFonts w:ascii="Titillium" w:hAnsi="Titillium" w:cs="Calibri"/>
          <w:sz w:val="18"/>
          <w:szCs w:val="18"/>
        </w:rPr>
        <w:t xml:space="preserve"> </w:t>
      </w:r>
    </w:p>
    <w:p w14:paraId="514FDCB5" w14:textId="778AFC04"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dichiarazione sottoscritta delle parti del servizio/fornitura, ovvero la</w:t>
      </w:r>
      <w:r w:rsidR="00521063">
        <w:rPr>
          <w:rFonts w:ascii="Titillium" w:hAnsi="Titillium" w:cs="Calibri"/>
          <w:sz w:val="18"/>
          <w:szCs w:val="18"/>
        </w:rPr>
        <w:t xml:space="preserve"> percentuale in caso di servizi</w:t>
      </w:r>
      <w:r>
        <w:rPr>
          <w:rFonts w:ascii="Titillium" w:hAnsi="Titillium" w:cs="Calibri"/>
          <w:sz w:val="18"/>
          <w:szCs w:val="18"/>
        </w:rPr>
        <w:t xml:space="preserve">/forniture indivisibili, che saranno eseguite dai singoli operatori economici consorziati. </w:t>
      </w:r>
    </w:p>
    <w:p w14:paraId="7FD2E477" w14:textId="77777777" w:rsidR="004C53A8" w:rsidRDefault="00870286">
      <w:pPr>
        <w:spacing w:before="60" w:after="60"/>
        <w:rPr>
          <w:rFonts w:ascii="Titillium" w:hAnsi="Titillium"/>
          <w:b/>
          <w:sz w:val="18"/>
          <w:szCs w:val="18"/>
        </w:rPr>
      </w:pPr>
      <w:r>
        <w:rPr>
          <w:rFonts w:ascii="Titillium" w:hAnsi="Titillium"/>
          <w:b/>
          <w:sz w:val="18"/>
          <w:szCs w:val="18"/>
        </w:rPr>
        <w:t>Per i raggruppamenti temporanei o consorzi ordinari o GEIE non ancora costituiti</w:t>
      </w:r>
    </w:p>
    <w:p w14:paraId="5893ABD4" w14:textId="7777777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 xml:space="preserve"> dichiarazione rese da ciascun concorrente, attestante:</w:t>
      </w:r>
    </w:p>
    <w:p w14:paraId="3433D4EF" w14:textId="77777777" w:rsidR="004C53A8" w:rsidRDefault="00870286" w:rsidP="0022153A">
      <w:pPr>
        <w:numPr>
          <w:ilvl w:val="0"/>
          <w:numId w:val="13"/>
        </w:numPr>
        <w:spacing w:before="60" w:after="60"/>
        <w:ind w:left="709" w:hanging="284"/>
        <w:rPr>
          <w:rFonts w:ascii="Titillium" w:hAnsi="Titillium" w:cs="Calibri"/>
          <w:sz w:val="18"/>
          <w:szCs w:val="18"/>
        </w:rPr>
      </w:pPr>
      <w:r>
        <w:rPr>
          <w:rFonts w:ascii="Titillium" w:hAnsi="Titillium" w:cs="Calibri"/>
          <w:sz w:val="18"/>
          <w:szCs w:val="18"/>
        </w:rPr>
        <w:t>a quale operatore economico, in caso di aggiudicazione, sarà conferito mandato speciale con rappresentanza o funzioni di capogruppo;</w:t>
      </w:r>
    </w:p>
    <w:p w14:paraId="76C7B849" w14:textId="77777777" w:rsidR="00140144" w:rsidRDefault="00870286" w:rsidP="00140144">
      <w:pPr>
        <w:numPr>
          <w:ilvl w:val="0"/>
          <w:numId w:val="13"/>
        </w:numPr>
        <w:spacing w:before="60" w:after="60"/>
        <w:ind w:left="709" w:hanging="284"/>
      </w:pPr>
      <w:r>
        <w:rPr>
          <w:rFonts w:ascii="Titillium" w:hAnsi="Titillium" w:cs="Calibri"/>
          <w:sz w:val="18"/>
          <w:szCs w:val="18"/>
        </w:rPr>
        <w:t xml:space="preserve">l’impegno, in caso di aggiudicazione, ad uniformarsi alla disciplina vigente con riguardo ai raggruppamenti temporanei o consorzi o GEIE ai sensi dell’articolo 48 </w:t>
      </w:r>
      <w:r>
        <w:rPr>
          <w:rFonts w:ascii="Titillium" w:hAnsi="Titillium" w:cs="Arial"/>
          <w:sz w:val="18"/>
          <w:szCs w:val="18"/>
        </w:rPr>
        <w:t>comma</w:t>
      </w:r>
      <w:r>
        <w:rPr>
          <w:rFonts w:ascii="Titillium" w:hAnsi="Titillium" w:cs="Calibri"/>
          <w:sz w:val="18"/>
          <w:szCs w:val="18"/>
        </w:rPr>
        <w:t xml:space="preserve"> 8 del Codice conferendo mandato collettivo speciale con rappresentanza all’impresa qualificata come mandataria che stipulerà il contratto in nome e per conto delle mandanti/consorziate;</w:t>
      </w:r>
    </w:p>
    <w:p w14:paraId="1FBBB326" w14:textId="246CA376" w:rsidR="004C53A8" w:rsidRPr="00140144" w:rsidRDefault="00870286" w:rsidP="00140144">
      <w:pPr>
        <w:numPr>
          <w:ilvl w:val="0"/>
          <w:numId w:val="13"/>
        </w:numPr>
        <w:spacing w:before="60" w:after="60"/>
        <w:ind w:left="709" w:hanging="284"/>
      </w:pPr>
      <w:r w:rsidRPr="00140144">
        <w:rPr>
          <w:rFonts w:ascii="Titillium" w:hAnsi="Titillium" w:cs="Calibri"/>
          <w:sz w:val="18"/>
          <w:szCs w:val="18"/>
        </w:rPr>
        <w:t xml:space="preserve">le parti del servizio/fornitura, ovvero la percentuale in caso di servizio/forniture indivisibili, che saranno eseguite dai singoli operatori economici riuniti o consorziati. </w:t>
      </w:r>
    </w:p>
    <w:p w14:paraId="7ED48753" w14:textId="77777777" w:rsidR="004C53A8" w:rsidRDefault="00870286">
      <w:pPr>
        <w:spacing w:before="60" w:after="60"/>
        <w:rPr>
          <w:rFonts w:ascii="Titillium" w:hAnsi="Titillium"/>
          <w:b/>
          <w:sz w:val="18"/>
          <w:szCs w:val="18"/>
        </w:rPr>
      </w:pPr>
      <w:r>
        <w:rPr>
          <w:rFonts w:ascii="Titillium" w:hAnsi="Titillium"/>
          <w:b/>
          <w:sz w:val="18"/>
          <w:szCs w:val="18"/>
        </w:rPr>
        <w:t>Per le aggregazioni di retisti: se la rete è dotata di un organo comune con potere di rappresentanza e soggettività giuridica</w:t>
      </w:r>
    </w:p>
    <w:p w14:paraId="3A588924"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copia del contratto di rete, con indicazione dell’organo comune che agisce in rappresentanza della rete.</w:t>
      </w:r>
    </w:p>
    <w:p w14:paraId="71920C02"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 xml:space="preserve">dichiarazione che indichi per quali imprese la rete concorre; </w:t>
      </w:r>
    </w:p>
    <w:p w14:paraId="0AE39214"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 xml:space="preserve">dichiarazione sottoscritta con firma digitale delle parti del servizio o della fornitura, ovvero la percentuale in caso di servizio/forniture indivisibili, che saranno eseguite dai singoli operatori economici aggregati in rete. </w:t>
      </w:r>
    </w:p>
    <w:p w14:paraId="5767CBBA" w14:textId="77777777" w:rsidR="004C53A8" w:rsidRDefault="00870286">
      <w:pPr>
        <w:spacing w:before="60" w:after="60"/>
        <w:rPr>
          <w:rFonts w:ascii="Titillium" w:hAnsi="Titillium"/>
          <w:b/>
          <w:sz w:val="18"/>
          <w:szCs w:val="18"/>
        </w:rPr>
      </w:pPr>
      <w:r>
        <w:rPr>
          <w:rFonts w:ascii="Titillium" w:hAnsi="Titillium"/>
          <w:b/>
          <w:sz w:val="18"/>
          <w:szCs w:val="18"/>
        </w:rPr>
        <w:t>Per le aggregazioni di retisti: se la rete è dotata di un organo comune con potere di rappresentanza ma è priva di soggettività giuridica</w:t>
      </w:r>
    </w:p>
    <w:p w14:paraId="43FF7CD5" w14:textId="32C42221" w:rsidR="004C53A8" w:rsidRDefault="00140144"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 xml:space="preserve">copia </w:t>
      </w:r>
      <w:r w:rsidR="00870286">
        <w:rPr>
          <w:rFonts w:ascii="Titillium" w:hAnsi="Titillium" w:cs="Calibri"/>
          <w:sz w:val="18"/>
          <w:szCs w:val="18"/>
        </w:rPr>
        <w:t>del contratto di rete;</w:t>
      </w:r>
    </w:p>
    <w:p w14:paraId="3B64BE30" w14:textId="77777777" w:rsidR="004C53A8" w:rsidRDefault="00870286"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 xml:space="preserve">copia del mandato collettivo irrevocabile con rappresentanza conferito all’organo comune; </w:t>
      </w:r>
    </w:p>
    <w:p w14:paraId="22E103DE" w14:textId="77777777" w:rsidR="004C53A8" w:rsidRDefault="00870286"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2D5E199E" w14:textId="77777777" w:rsidR="004C53A8" w:rsidRDefault="00870286">
      <w:pPr>
        <w:spacing w:before="60" w:after="60"/>
        <w:rPr>
          <w:rFonts w:ascii="Titillium" w:hAnsi="Titillium"/>
          <w:b/>
          <w:sz w:val="18"/>
          <w:szCs w:val="18"/>
        </w:rPr>
      </w:pPr>
      <w:r>
        <w:rPr>
          <w:rFonts w:ascii="Titillium" w:hAnsi="Titillium"/>
          <w:b/>
          <w:sz w:val="18"/>
          <w:szCs w:val="18"/>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097E32" w14:textId="77777777" w:rsidR="004C53A8" w:rsidRDefault="00870286" w:rsidP="0022153A">
      <w:pPr>
        <w:pStyle w:val="Paragrafoelenco"/>
        <w:numPr>
          <w:ilvl w:val="0"/>
          <w:numId w:val="14"/>
        </w:numPr>
        <w:spacing w:before="60" w:after="60"/>
      </w:pPr>
      <w:r>
        <w:rPr>
          <w:rFonts w:ascii="Titillium" w:hAnsi="Titillium" w:cs="Calibri"/>
          <w:b/>
          <w:sz w:val="18"/>
          <w:szCs w:val="18"/>
        </w:rPr>
        <w:t>in caso di raggruppamento temporaneo di imprese costituito</w:t>
      </w:r>
      <w:r>
        <w:rPr>
          <w:rFonts w:ascii="Titillium" w:hAnsi="Titillium" w:cs="Calibri"/>
          <w:sz w:val="18"/>
          <w:szCs w:val="18"/>
        </w:rPr>
        <w:t xml:space="preserve">: </w:t>
      </w:r>
    </w:p>
    <w:p w14:paraId="1D3AF5B2"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contratto di rete</w:t>
      </w:r>
    </w:p>
    <w:p w14:paraId="79F0639C"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mandato collettivo irrevocabile con rappresentanza conferito alla mandataria</w:t>
      </w:r>
    </w:p>
    <w:p w14:paraId="162A4F7C"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70380C9B" w14:textId="77777777" w:rsidR="004C53A8" w:rsidRDefault="00870286" w:rsidP="0022153A">
      <w:pPr>
        <w:pStyle w:val="Paragrafoelenco"/>
        <w:numPr>
          <w:ilvl w:val="0"/>
          <w:numId w:val="14"/>
        </w:numPr>
        <w:spacing w:before="60" w:after="60"/>
      </w:pPr>
      <w:r>
        <w:rPr>
          <w:rFonts w:ascii="Titillium" w:hAnsi="Titillium" w:cs="Calibri"/>
          <w:b/>
          <w:sz w:val="18"/>
          <w:szCs w:val="18"/>
        </w:rPr>
        <w:t>in caso di raggruppamento temporaneo di imprese costituendo</w:t>
      </w:r>
      <w:r>
        <w:rPr>
          <w:rFonts w:ascii="Titillium" w:hAnsi="Titillium" w:cs="Calibri"/>
          <w:sz w:val="18"/>
          <w:szCs w:val="18"/>
        </w:rPr>
        <w:t xml:space="preserve">: </w:t>
      </w:r>
    </w:p>
    <w:p w14:paraId="314877DE"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contratto di rete</w:t>
      </w:r>
    </w:p>
    <w:p w14:paraId="442B464E"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dichiarazioni, rese da ciascun concorrente aderente all’aggregazione di rete, attestanti:</w:t>
      </w:r>
    </w:p>
    <w:p w14:paraId="4B350330"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a quale concorrente, in caso di aggiudicazione, sarà conferito mandato speciale con rappresentanza o funzioni di capogruppo;</w:t>
      </w:r>
    </w:p>
    <w:p w14:paraId="4BC83502"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l’impegno, in caso di aggiudicazione, ad uniformarsi alla disciplina vigente in materia di raggruppamenti temporanei;</w:t>
      </w:r>
    </w:p>
    <w:p w14:paraId="5AA66F22"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le parti del servizio o della fornitura, ovvero la percentuale in caso di servizio/forniture indivisibili, che saranno eseguite dai singoli operatori economici aggregati in rete.</w:t>
      </w:r>
    </w:p>
    <w:p w14:paraId="3E024A49" w14:textId="77777777" w:rsidR="004C53A8" w:rsidRDefault="00870286">
      <w:pPr>
        <w:pStyle w:val="Titolo2"/>
        <w:numPr>
          <w:ilvl w:val="0"/>
          <w:numId w:val="4"/>
        </w:numPr>
        <w:ind w:left="357" w:hanging="357"/>
      </w:pPr>
      <w:r>
        <w:rPr>
          <w:rFonts w:ascii="Titillium" w:hAnsi="Titillium"/>
          <w:sz w:val="18"/>
          <w:szCs w:val="18"/>
          <w:lang w:val="it-IT"/>
        </w:rPr>
        <w:t xml:space="preserve"> </w:t>
      </w:r>
      <w:bookmarkStart w:id="1861" w:name="_Toc95495907"/>
      <w:r>
        <w:rPr>
          <w:rFonts w:ascii="Titillium" w:hAnsi="Titillium"/>
          <w:sz w:val="18"/>
          <w:szCs w:val="18"/>
          <w:lang w:val="it-IT"/>
        </w:rPr>
        <w:t>OFFERTA TECNICA</w:t>
      </w:r>
      <w:bookmarkEnd w:id="1861"/>
    </w:p>
    <w:p w14:paraId="78E8B1AD" w14:textId="7FAAB0A3" w:rsidR="004C53A8" w:rsidRDefault="00870286">
      <w:pPr>
        <w:spacing w:before="60" w:after="60"/>
      </w:pPr>
      <w:bookmarkStart w:id="1862" w:name="_Toc406058382"/>
      <w:bookmarkStart w:id="1863" w:name="_Toc407013507"/>
      <w:bookmarkStart w:id="1864" w:name="_Toc406754183"/>
      <w:bookmarkEnd w:id="1862"/>
      <w:bookmarkEnd w:id="1863"/>
      <w:bookmarkEnd w:id="1864"/>
      <w:r>
        <w:rPr>
          <w:rFonts w:ascii="Titillium" w:hAnsi="Titillium" w:cs="Calibri"/>
          <w:sz w:val="18"/>
          <w:szCs w:val="18"/>
        </w:rPr>
        <w:t>L’operatore economico inserisce [</w:t>
      </w:r>
      <w:r>
        <w:rPr>
          <w:rFonts w:ascii="Titillium" w:hAnsi="Titillium" w:cs="Calibri"/>
          <w:i/>
          <w:sz w:val="18"/>
          <w:szCs w:val="18"/>
        </w:rPr>
        <w:t>eventualmente</w:t>
      </w:r>
      <w:r>
        <w:rPr>
          <w:rFonts w:ascii="Titillium" w:hAnsi="Titillium" w:cs="Calibri"/>
          <w:sz w:val="18"/>
          <w:szCs w:val="18"/>
        </w:rPr>
        <w:t>: per ogni singolo lotto] la documentazione relativa all’offerta tecnica nella Piattafor</w:t>
      </w:r>
      <w:r w:rsidR="00140144">
        <w:rPr>
          <w:rFonts w:ascii="Titillium" w:hAnsi="Titillium" w:cs="Calibri"/>
          <w:sz w:val="18"/>
          <w:szCs w:val="18"/>
        </w:rPr>
        <w:t>ma secondo le seguenti modalità …</w:t>
      </w:r>
      <w:r>
        <w:rPr>
          <w:rFonts w:ascii="Titillium" w:hAnsi="Titillium" w:cs="Calibri"/>
          <w:sz w:val="18"/>
          <w:szCs w:val="18"/>
        </w:rPr>
        <w:t xml:space="preserve"> </w:t>
      </w:r>
      <w:r w:rsidRPr="00472411">
        <w:rPr>
          <w:rFonts w:ascii="Titillium" w:hAnsi="Titillium" w:cs="Calibri"/>
          <w:i/>
          <w:sz w:val="18"/>
          <w:szCs w:val="18"/>
        </w:rPr>
        <w:t>[</w:t>
      </w:r>
      <w:r w:rsidR="005D2897" w:rsidRPr="00843077">
        <w:rPr>
          <w:rFonts w:ascii="Titillium" w:hAnsi="Titillium" w:cs="Calibri"/>
          <w:i/>
          <w:sz w:val="18"/>
          <w:szCs w:val="18"/>
        </w:rPr>
        <w:t>la SA indica l</w:t>
      </w:r>
      <w:r w:rsidRPr="00843077">
        <w:rPr>
          <w:rFonts w:ascii="Titillium" w:hAnsi="Titillium" w:cs="Calibri"/>
          <w:i/>
          <w:sz w:val="18"/>
          <w:szCs w:val="18"/>
        </w:rPr>
        <w:t>e modalità</w:t>
      </w:r>
      <w:r w:rsidRPr="00472411">
        <w:rPr>
          <w:rFonts w:ascii="Titillium" w:hAnsi="Titillium" w:cs="Calibri"/>
          <w:i/>
          <w:sz w:val="18"/>
          <w:szCs w:val="18"/>
        </w:rPr>
        <w:t>]</w:t>
      </w:r>
      <w:r>
        <w:rPr>
          <w:rFonts w:ascii="Titillium" w:hAnsi="Titillium" w:cs="Calibri"/>
          <w:sz w:val="18"/>
          <w:szCs w:val="18"/>
        </w:rPr>
        <w:t>. L’offerta è firmata secondo le modalità previste al precedente punto 1</w:t>
      </w:r>
      <w:r w:rsidR="005D2897">
        <w:rPr>
          <w:rFonts w:ascii="Titillium" w:hAnsi="Titillium" w:cs="Calibri"/>
          <w:sz w:val="18"/>
          <w:szCs w:val="18"/>
        </w:rPr>
        <w:t>4</w:t>
      </w:r>
      <w:r>
        <w:rPr>
          <w:rFonts w:ascii="Titillium" w:hAnsi="Titillium" w:cs="Calibri"/>
          <w:sz w:val="18"/>
          <w:szCs w:val="18"/>
        </w:rPr>
        <w:t xml:space="preserve">.1 e </w:t>
      </w:r>
      <w:r w:rsidR="005D2897">
        <w:rPr>
          <w:rFonts w:ascii="Titillium" w:hAnsi="Titillium" w:cs="Calibri"/>
          <w:sz w:val="18"/>
          <w:szCs w:val="18"/>
        </w:rPr>
        <w:t>d</w:t>
      </w:r>
      <w:r>
        <w:rPr>
          <w:rFonts w:ascii="Titillium" w:hAnsi="Titillium" w:cs="Calibri"/>
          <w:sz w:val="18"/>
          <w:szCs w:val="18"/>
        </w:rPr>
        <w:t xml:space="preserve">eve </w:t>
      </w:r>
      <w:r w:rsidRPr="00140144">
        <w:rPr>
          <w:rFonts w:ascii="Titillium" w:hAnsi="Titillium" w:cs="Calibri"/>
          <w:sz w:val="18"/>
          <w:szCs w:val="18"/>
        </w:rPr>
        <w:t>contenere, a pena di esclusione, i seguenti</w:t>
      </w:r>
      <w:r>
        <w:rPr>
          <w:rFonts w:ascii="Titillium" w:hAnsi="Titillium" w:cs="Calibri"/>
          <w:sz w:val="18"/>
          <w:szCs w:val="18"/>
        </w:rPr>
        <w:t xml:space="preserve"> documenti:</w:t>
      </w:r>
    </w:p>
    <w:p w14:paraId="11F52DEA" w14:textId="3F2EED45" w:rsidR="004C53A8" w:rsidRDefault="00870286" w:rsidP="00601972">
      <w:pPr>
        <w:pStyle w:val="Paragrafoelenco"/>
        <w:numPr>
          <w:ilvl w:val="0"/>
          <w:numId w:val="28"/>
        </w:numPr>
        <w:spacing w:before="60" w:after="60"/>
        <w:ind w:left="709"/>
      </w:pPr>
      <w:r w:rsidRPr="005D2897">
        <w:rPr>
          <w:rFonts w:ascii="Titillium" w:hAnsi="Titillium" w:cs="Calibri"/>
          <w:sz w:val="18"/>
          <w:szCs w:val="18"/>
        </w:rPr>
        <w:t>relazione tecnica dei servizi/forniture offerti;</w:t>
      </w:r>
    </w:p>
    <w:p w14:paraId="05EF2B6D" w14:textId="0100D79D" w:rsidR="004C53A8" w:rsidRDefault="0006740A" w:rsidP="00601972">
      <w:pPr>
        <w:pStyle w:val="Paragrafoelenco"/>
        <w:numPr>
          <w:ilvl w:val="0"/>
          <w:numId w:val="28"/>
        </w:numPr>
        <w:spacing w:before="60" w:after="60"/>
        <w:ind w:left="709"/>
        <w:rPr>
          <w:rFonts w:ascii="Titillium" w:hAnsi="Titillium" w:cs="Calibri"/>
          <w:i/>
          <w:sz w:val="18"/>
          <w:szCs w:val="18"/>
        </w:rPr>
      </w:pPr>
      <w:r>
        <w:rPr>
          <w:rFonts w:ascii="Titillium" w:hAnsi="Titillium" w:cs="Calibri"/>
          <w:i/>
          <w:sz w:val="18"/>
          <w:szCs w:val="18"/>
        </w:rPr>
        <w:t xml:space="preserve">… </w:t>
      </w:r>
      <w:r w:rsidR="00870286">
        <w:rPr>
          <w:rFonts w:ascii="Titillium" w:hAnsi="Titillium" w:cs="Calibri"/>
          <w:i/>
          <w:sz w:val="18"/>
          <w:szCs w:val="18"/>
        </w:rPr>
        <w:t>[indicare ulteriori documenti eventualmente richiesti].</w:t>
      </w:r>
    </w:p>
    <w:p w14:paraId="436197AA" w14:textId="14F1A8C4" w:rsidR="004C53A8" w:rsidRDefault="00870286">
      <w:pPr>
        <w:spacing w:before="60" w:after="60"/>
      </w:pPr>
      <w:r>
        <w:rPr>
          <w:rFonts w:ascii="Titillium" w:hAnsi="Titillium" w:cs="Calibri"/>
          <w:sz w:val="18"/>
          <w:szCs w:val="18"/>
        </w:rPr>
        <w:t>La relazione contiene una proposta tecnico-organizzativa che illustra, con riferimento ai criteri e sub-criteri di valutazione indicati nella tabella di cui al successivo punto 1</w:t>
      </w:r>
      <w:r w:rsidR="0024334B">
        <w:rPr>
          <w:rFonts w:ascii="Titillium" w:hAnsi="Titillium" w:cs="Calibri"/>
          <w:sz w:val="18"/>
          <w:szCs w:val="18"/>
        </w:rPr>
        <w:t>7</w:t>
      </w:r>
      <w:r>
        <w:rPr>
          <w:rFonts w:ascii="Titillium" w:hAnsi="Titillium" w:cs="Calibri"/>
          <w:sz w:val="18"/>
          <w:szCs w:val="18"/>
        </w:rPr>
        <w:t xml:space="preserve">.1, i seguenti elementi: … </w:t>
      </w:r>
      <w:r>
        <w:rPr>
          <w:rFonts w:ascii="Titillium" w:hAnsi="Titillium" w:cs="Calibri"/>
          <w:i/>
          <w:sz w:val="18"/>
          <w:szCs w:val="18"/>
        </w:rPr>
        <w:t>[specificare, per ogni singolo criterio e sub-criterio di valutazione, gli elementi che il concorrente deve descrivere ai fini della valutazione dell’offerta tecnica, se ritenuto opportuno anche mediante rinvio ad apposito allegato]</w:t>
      </w:r>
      <w:r>
        <w:rPr>
          <w:rFonts w:ascii="Titillium" w:hAnsi="Titillium" w:cs="Calibri"/>
          <w:sz w:val="18"/>
          <w:szCs w:val="18"/>
        </w:rPr>
        <w:t>.</w:t>
      </w:r>
    </w:p>
    <w:p w14:paraId="12042EE6" w14:textId="347BA9C5" w:rsidR="004C53A8" w:rsidRDefault="00870286">
      <w:pPr>
        <w:spacing w:before="60" w:after="60"/>
      </w:pPr>
      <w:r>
        <w:rPr>
          <w:rFonts w:ascii="Titillium" w:hAnsi="Titillium" w:cs="Calibri"/>
          <w:sz w:val="18"/>
          <w:szCs w:val="18"/>
        </w:rPr>
        <w:t xml:space="preserve">L’offerta tecnica deve rispettare le caratteristiche minime stabilite nel </w:t>
      </w:r>
      <w:r w:rsidR="00005387">
        <w:rPr>
          <w:rFonts w:ascii="Titillium" w:hAnsi="Titillium" w:cs="Calibri"/>
          <w:sz w:val="18"/>
          <w:szCs w:val="18"/>
        </w:rPr>
        <w:t>p</w:t>
      </w:r>
      <w:r w:rsidRPr="00140144">
        <w:rPr>
          <w:rFonts w:ascii="Titillium" w:hAnsi="Titillium" w:cs="Calibri"/>
          <w:sz w:val="18"/>
          <w:szCs w:val="18"/>
        </w:rPr>
        <w:t>rogetto, pena l’esclusione</w:t>
      </w:r>
      <w:r>
        <w:rPr>
          <w:rFonts w:ascii="Titillium" w:hAnsi="Titillium" w:cs="Calibri"/>
          <w:sz w:val="18"/>
          <w:szCs w:val="18"/>
        </w:rPr>
        <w:t xml:space="preserve"> dalla procedura di gara, nel rispetto del principio di equivalenza di cui all’articolo 68 del Codice.</w:t>
      </w:r>
    </w:p>
    <w:p w14:paraId="0BC4BF92" w14:textId="1E48511D" w:rsidR="004C53A8" w:rsidRDefault="00870286">
      <w:pPr>
        <w:spacing w:before="60" w:after="60"/>
      </w:pPr>
      <w:r>
        <w:rPr>
          <w:rFonts w:ascii="Titillium" w:hAnsi="Titillium"/>
          <w:b/>
          <w:i/>
          <w:sz w:val="18"/>
          <w:szCs w:val="18"/>
        </w:rPr>
        <w:t xml:space="preserve">[Facoltativo: qualora sia necessario conoscere le qualifiche professionali dei lavoratori in ragione della tipologia delle prestazioni richieste nei servizi oggetto dell’appalto] </w:t>
      </w:r>
      <w:r>
        <w:rPr>
          <w:rFonts w:ascii="Titillium" w:hAnsi="Titillium" w:cs="Calibri"/>
          <w:sz w:val="18"/>
          <w:szCs w:val="18"/>
        </w:rPr>
        <w:t>L’operatore economico indica</w:t>
      </w:r>
      <w:r w:rsidR="00140144">
        <w:rPr>
          <w:rFonts w:ascii="Titillium" w:hAnsi="Titillium" w:cs="Calibri"/>
          <w:sz w:val="18"/>
          <w:szCs w:val="18"/>
        </w:rPr>
        <w:t xml:space="preserve"> </w:t>
      </w:r>
      <w:r>
        <w:rPr>
          <w:rFonts w:ascii="Titillium" w:hAnsi="Titillium" w:cs="Calibri"/>
          <w:sz w:val="18"/>
          <w:szCs w:val="18"/>
        </w:rPr>
        <w:t xml:space="preserve">il nome e le qualifiche professionali delle persone fisiche incaricate delle seguenti prestazioni ... </w:t>
      </w:r>
      <w:r>
        <w:rPr>
          <w:rFonts w:ascii="Titillium" w:hAnsi="Titillium" w:cs="Calibri"/>
          <w:i/>
          <w:sz w:val="18"/>
          <w:szCs w:val="18"/>
        </w:rPr>
        <w:t>[la stazione appaltante individua le prestazioni in relazione alle quali, viste le loro peculiarità, ritiene necessario conoscere ex ante nominativo e qualifiche delle persone fisiche incaricate]</w:t>
      </w:r>
      <w:r>
        <w:rPr>
          <w:rFonts w:ascii="Titillium" w:hAnsi="Titillium" w:cs="Calibri"/>
          <w:sz w:val="18"/>
          <w:szCs w:val="18"/>
        </w:rPr>
        <w:t>.</w:t>
      </w:r>
    </w:p>
    <w:p w14:paraId="15F5ED67" w14:textId="77777777" w:rsidR="004C53A8" w:rsidRDefault="00870286">
      <w:pPr>
        <w:spacing w:before="60" w:after="60"/>
      </w:pPr>
      <w:r>
        <w:rPr>
          <w:rFonts w:ascii="Titillium" w:hAnsi="Titillium" w:cs="Calibri"/>
          <w:b/>
          <w:i/>
          <w:sz w:val="18"/>
          <w:szCs w:val="18"/>
        </w:rPr>
        <w:t>[Facoltativo]</w:t>
      </w:r>
      <w:r>
        <w:rPr>
          <w:rFonts w:ascii="Titillium" w:hAnsi="Titillium" w:cs="Calibri"/>
          <w:sz w:val="18"/>
          <w:szCs w:val="18"/>
        </w:rPr>
        <w:t xml:space="preserve"> È facoltà/obbligo del concorrente presentare varianti al progetto posto a base di gara. I requisiti minimi che la variante deve rispettare sono i seguenti: …</w:t>
      </w:r>
      <w:r>
        <w:rPr>
          <w:rFonts w:ascii="Titillium" w:hAnsi="Titillium" w:cs="Calibri"/>
          <w:i/>
          <w:sz w:val="18"/>
          <w:szCs w:val="18"/>
        </w:rPr>
        <w:t xml:space="preserve"> [specificare, ai sensi dell’articolo 95, comma 14 del Codice, i requisiti minimi delle varianti che devono essere comunque collegate all’oggetto dell’appalto]. </w:t>
      </w:r>
      <w:r>
        <w:rPr>
          <w:rFonts w:ascii="Titillium" w:hAnsi="Titillium" w:cs="Calibri"/>
          <w:sz w:val="18"/>
          <w:szCs w:val="18"/>
        </w:rPr>
        <w:t xml:space="preserve">Le modalità di presentazione delle varianti sono le seguenti: </w:t>
      </w:r>
      <w:r>
        <w:rPr>
          <w:rFonts w:ascii="Titillium" w:hAnsi="Titillium" w:cs="Calibri"/>
          <w:i/>
          <w:sz w:val="18"/>
          <w:szCs w:val="18"/>
        </w:rPr>
        <w:t>[specificare, ai sensi dell’articolo 95, comma 14 del Codice, le modalità di presentazione].</w:t>
      </w:r>
    </w:p>
    <w:p w14:paraId="16A14616" w14:textId="6E57E201" w:rsidR="004C53A8" w:rsidRPr="00A344E8" w:rsidRDefault="00870286">
      <w:pPr>
        <w:spacing w:before="60" w:after="60"/>
        <w:rPr>
          <w:rFonts w:ascii="Titillium" w:eastAsia="Calibri" w:hAnsi="Titillium"/>
          <w:color w:val="000000" w:themeColor="text1"/>
          <w:kern w:val="2"/>
          <w:sz w:val="18"/>
          <w:szCs w:val="18"/>
          <w:lang w:eastAsia="it-IT"/>
        </w:rPr>
      </w:pPr>
      <w:r w:rsidRPr="0024334B">
        <w:rPr>
          <w:rFonts w:ascii="Titillium" w:hAnsi="Titillium" w:cs="Calibri"/>
          <w:b/>
          <w:bCs/>
          <w:i/>
          <w:sz w:val="18"/>
          <w:szCs w:val="18"/>
        </w:rPr>
        <w:t xml:space="preserve">[Facoltativo] </w:t>
      </w:r>
      <w:r w:rsidRPr="00A344E8">
        <w:rPr>
          <w:rFonts w:ascii="Titillium" w:eastAsia="Calibri" w:hAnsi="Titillium"/>
          <w:color w:val="000000" w:themeColor="text1"/>
          <w:kern w:val="2"/>
          <w:sz w:val="18"/>
          <w:szCs w:val="18"/>
          <w:lang w:eastAsia="it-IT"/>
        </w:rPr>
        <w:t>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2914F8E" w14:textId="5CFB459C" w:rsidR="001035D6" w:rsidRDefault="001035D6" w:rsidP="001035D6">
      <w:pPr>
        <w:spacing w:before="60" w:after="60"/>
      </w:pPr>
      <w:r w:rsidRPr="00140144">
        <w:rPr>
          <w:rFonts w:ascii="Titillium" w:hAnsi="Titillium"/>
          <w:b/>
          <w:bCs/>
          <w:i/>
          <w:iCs/>
          <w:sz w:val="18"/>
          <w:szCs w:val="18"/>
        </w:rPr>
        <w:t xml:space="preserve">[Facoltativo] </w:t>
      </w:r>
      <w:r w:rsidRPr="00140144">
        <w:rPr>
          <w:rFonts w:ascii="Titillium" w:hAnsi="Titillium"/>
          <w:sz w:val="18"/>
          <w:szCs w:val="18"/>
        </w:rPr>
        <w:t>Ai fini del rispetto della clausola sociale di cui al punto 25, il concorrente allega all</w:t>
      </w:r>
      <w:r w:rsidRPr="00140144">
        <w:rPr>
          <w:rFonts w:ascii="Titillium" w:hAnsi="Titillium" w:hint="eastAsia"/>
          <w:sz w:val="18"/>
          <w:szCs w:val="18"/>
        </w:rPr>
        <w:t>’</w:t>
      </w:r>
      <w:r w:rsidRPr="00140144">
        <w:rPr>
          <w:rFonts w:ascii="Titillium" w:hAnsi="Titillium"/>
          <w:sz w:val="18"/>
          <w:szCs w:val="18"/>
        </w:rPr>
        <w:t xml:space="preserve">offerta </w:t>
      </w:r>
      <w:r>
        <w:rPr>
          <w:rFonts w:ascii="Titillium" w:hAnsi="Titillium"/>
          <w:sz w:val="18"/>
          <w:szCs w:val="18"/>
        </w:rPr>
        <w:t>tecnica</w:t>
      </w:r>
      <w:r w:rsidRPr="00140144">
        <w:rPr>
          <w:rFonts w:ascii="Titillium" w:hAnsi="Titillium"/>
          <w:sz w:val="18"/>
          <w:szCs w:val="18"/>
        </w:rPr>
        <w:t xml:space="preserve"> un progetto di assorbimento atto ad illustrare le concrete modalit</w:t>
      </w:r>
      <w:r w:rsidRPr="00140144">
        <w:rPr>
          <w:rFonts w:ascii="Titillium" w:hAnsi="Titillium" w:hint="eastAsia"/>
          <w:sz w:val="18"/>
          <w:szCs w:val="18"/>
        </w:rPr>
        <w:t>à</w:t>
      </w:r>
      <w:r w:rsidRPr="00140144">
        <w:rPr>
          <w:rFonts w:ascii="Titillium" w:hAnsi="Titillium"/>
          <w:sz w:val="18"/>
          <w:szCs w:val="18"/>
        </w:rPr>
        <w:t xml:space="preserve"> di applicazione della clausola sociale.</w:t>
      </w:r>
    </w:p>
    <w:p w14:paraId="440A8046" w14:textId="77777777" w:rsidR="004C53A8" w:rsidRDefault="00870286">
      <w:pPr>
        <w:pStyle w:val="Titolo2"/>
        <w:numPr>
          <w:ilvl w:val="0"/>
          <w:numId w:val="4"/>
        </w:numPr>
        <w:ind w:left="357" w:hanging="357"/>
      </w:pPr>
      <w:bookmarkStart w:id="1865" w:name="_Toc95495908"/>
      <w:r>
        <w:rPr>
          <w:rFonts w:ascii="Titillium" w:hAnsi="Titillium"/>
          <w:sz w:val="18"/>
          <w:szCs w:val="18"/>
          <w:lang w:val="it-IT"/>
        </w:rPr>
        <w:t>OFFERTA ECONOMICA</w:t>
      </w:r>
      <w:bookmarkEnd w:id="1865"/>
    </w:p>
    <w:p w14:paraId="61E7E5CE" w14:textId="4D15B434" w:rsidR="004C53A8" w:rsidRDefault="00870286">
      <w:pPr>
        <w:spacing w:before="60" w:after="60"/>
        <w:ind w:hanging="11"/>
      </w:pPr>
      <w:bookmarkStart w:id="1866" w:name="_Toc483316490"/>
      <w:bookmarkStart w:id="1867" w:name="_Toc483316359"/>
      <w:bookmarkStart w:id="1868" w:name="_Toc483316227"/>
      <w:bookmarkStart w:id="1869" w:name="_Toc483316022"/>
      <w:bookmarkStart w:id="1870" w:name="_Toc483302401"/>
      <w:bookmarkStart w:id="1871" w:name="_Toc483233684"/>
      <w:bookmarkStart w:id="1872" w:name="_Toc482979724"/>
      <w:bookmarkStart w:id="1873" w:name="_Toc482979626"/>
      <w:bookmarkStart w:id="1874" w:name="_Toc482979528"/>
      <w:bookmarkStart w:id="1875" w:name="_Toc482979420"/>
      <w:bookmarkStart w:id="1876" w:name="_Toc482979311"/>
      <w:bookmarkStart w:id="1877" w:name="_Toc482979202"/>
      <w:bookmarkStart w:id="1878" w:name="_Toc482979091"/>
      <w:bookmarkStart w:id="1879" w:name="_Toc482978983"/>
      <w:bookmarkStart w:id="1880" w:name="_Toc482978874"/>
      <w:bookmarkStart w:id="1881" w:name="_Toc482959755"/>
      <w:bookmarkStart w:id="1882" w:name="_Toc482959645"/>
      <w:bookmarkStart w:id="1883" w:name="_Toc482959535"/>
      <w:bookmarkStart w:id="1884" w:name="_Toc482712747"/>
      <w:bookmarkStart w:id="1885" w:name="_Toc482641301"/>
      <w:bookmarkStart w:id="1886" w:name="_Toc482633124"/>
      <w:bookmarkStart w:id="1887" w:name="_Toc482352283"/>
      <w:bookmarkStart w:id="1888" w:name="_Toc482352193"/>
      <w:bookmarkStart w:id="1889" w:name="_Toc482352103"/>
      <w:bookmarkStart w:id="1890" w:name="_Toc482352013"/>
      <w:bookmarkStart w:id="1891" w:name="_Toc482102149"/>
      <w:bookmarkStart w:id="1892" w:name="_Toc482102055"/>
      <w:bookmarkStart w:id="1893" w:name="_Toc482101960"/>
      <w:bookmarkStart w:id="1894" w:name="_Toc482101865"/>
      <w:bookmarkStart w:id="1895" w:name="_Toc482101772"/>
      <w:bookmarkStart w:id="1896" w:name="_Toc482101597"/>
      <w:bookmarkStart w:id="1897" w:name="_Toc482101482"/>
      <w:bookmarkStart w:id="1898" w:name="_Toc482101345"/>
      <w:bookmarkStart w:id="1899" w:name="_Toc482100919"/>
      <w:bookmarkStart w:id="1900" w:name="_Toc482100762"/>
      <w:bookmarkStart w:id="1901" w:name="_Toc482099045"/>
      <w:bookmarkStart w:id="1902" w:name="_Toc482097943"/>
      <w:bookmarkStart w:id="1903" w:name="_Toc482097751"/>
      <w:bookmarkStart w:id="1904" w:name="_Toc482097662"/>
      <w:bookmarkStart w:id="1905" w:name="_Toc482097573"/>
      <w:bookmarkStart w:id="1906" w:name="_Toc482025749"/>
      <w:bookmarkStart w:id="1907" w:name="_Toc483401270"/>
      <w:bookmarkStart w:id="1908" w:name="_Toc483325793"/>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r>
        <w:rPr>
          <w:rFonts w:ascii="Titillium" w:hAnsi="Titillium" w:cs="Calibri"/>
          <w:sz w:val="18"/>
          <w:szCs w:val="18"/>
        </w:rPr>
        <w:t>L’operatore economico inserisce [</w:t>
      </w:r>
      <w:r>
        <w:rPr>
          <w:rFonts w:ascii="Titillium" w:hAnsi="Titillium" w:cs="Calibri"/>
          <w:i/>
          <w:sz w:val="18"/>
          <w:szCs w:val="18"/>
        </w:rPr>
        <w:t>eventualmente</w:t>
      </w:r>
      <w:r>
        <w:rPr>
          <w:rFonts w:ascii="Titillium" w:hAnsi="Titillium" w:cs="Calibri"/>
          <w:sz w:val="18"/>
          <w:szCs w:val="18"/>
        </w:rPr>
        <w:t>: per ogni singolo lotto] la documentazione economica, nella Piattaforma secondo le seguenti modalità … [</w:t>
      </w:r>
      <w:r>
        <w:rPr>
          <w:rFonts w:ascii="Titillium" w:hAnsi="Titillium" w:cs="Calibri"/>
          <w:i/>
          <w:sz w:val="18"/>
          <w:szCs w:val="18"/>
        </w:rPr>
        <w:t>la SA indica le modalità</w:t>
      </w:r>
      <w:r>
        <w:rPr>
          <w:rFonts w:ascii="Titillium" w:hAnsi="Titillium" w:cs="Calibri"/>
          <w:sz w:val="18"/>
          <w:szCs w:val="18"/>
        </w:rPr>
        <w:t xml:space="preserve">]. L’offerta economica firmata secondo le modalità di cui al precedente </w:t>
      </w:r>
      <w:r w:rsidR="00EC60E5">
        <w:rPr>
          <w:rFonts w:ascii="Titillium" w:hAnsi="Titillium" w:cs="Calibri"/>
          <w:sz w:val="18"/>
          <w:szCs w:val="18"/>
        </w:rPr>
        <w:t>articolo</w:t>
      </w:r>
      <w:r>
        <w:rPr>
          <w:rFonts w:ascii="Titillium" w:hAnsi="Titillium" w:cs="Calibri"/>
          <w:sz w:val="18"/>
          <w:szCs w:val="18"/>
        </w:rPr>
        <w:t xml:space="preserve"> 1</w:t>
      </w:r>
      <w:r w:rsidR="0024334B">
        <w:rPr>
          <w:rFonts w:ascii="Titillium" w:hAnsi="Titillium" w:cs="Calibri"/>
          <w:sz w:val="18"/>
          <w:szCs w:val="18"/>
        </w:rPr>
        <w:t>4</w:t>
      </w:r>
      <w:r>
        <w:rPr>
          <w:rFonts w:ascii="Titillium" w:hAnsi="Titillium" w:cs="Calibri"/>
          <w:sz w:val="18"/>
          <w:szCs w:val="18"/>
        </w:rPr>
        <w:t xml:space="preserve">.1, deve </w:t>
      </w:r>
      <w:r w:rsidRPr="00140144">
        <w:rPr>
          <w:rFonts w:ascii="Titillium" w:hAnsi="Titillium" w:cs="Calibri"/>
          <w:sz w:val="18"/>
          <w:szCs w:val="18"/>
        </w:rPr>
        <w:t>indicare, a pena di esclusione, i seguenti elementi</w:t>
      </w:r>
      <w:r>
        <w:rPr>
          <w:rFonts w:ascii="Titillium" w:hAnsi="Titillium" w:cs="Calibri"/>
          <w:sz w:val="18"/>
          <w:szCs w:val="18"/>
        </w:rPr>
        <w:t>:</w:t>
      </w:r>
    </w:p>
    <w:p w14:paraId="1867EAA7" w14:textId="47CFFE69" w:rsidR="004C53A8" w:rsidRDefault="00870286">
      <w:pPr>
        <w:numPr>
          <w:ilvl w:val="2"/>
          <w:numId w:val="3"/>
        </w:numPr>
        <w:spacing w:before="60" w:after="60"/>
        <w:ind w:left="284" w:hanging="284"/>
      </w:pPr>
      <w:r>
        <w:rPr>
          <w:rFonts w:ascii="Titillium" w:hAnsi="Titillium" w:cs="Arial"/>
          <w:i/>
          <w:sz w:val="18"/>
          <w:szCs w:val="18"/>
        </w:rPr>
        <w:t>[indicare il valore che la stazione</w:t>
      </w:r>
      <w:r w:rsidR="00D84BB7">
        <w:rPr>
          <w:rFonts w:ascii="Titillium" w:hAnsi="Titillium" w:cs="Arial"/>
          <w:i/>
          <w:sz w:val="18"/>
          <w:szCs w:val="18"/>
        </w:rPr>
        <w:t xml:space="preserve"> appaltante intende richiedere, </w:t>
      </w:r>
      <w:r>
        <w:rPr>
          <w:rFonts w:ascii="Titillium" w:hAnsi="Titillium" w:cs="Arial"/>
          <w:i/>
          <w:sz w:val="18"/>
          <w:szCs w:val="18"/>
        </w:rPr>
        <w:t xml:space="preserve">ad esempio: </w:t>
      </w:r>
      <w:r>
        <w:rPr>
          <w:rFonts w:ascii="Titillium" w:hAnsi="Titillium" w:cs="Calibri"/>
          <w:i/>
          <w:sz w:val="18"/>
          <w:szCs w:val="18"/>
        </w:rPr>
        <w:t>prezzo complessivo, ribasso percentuale, prezzi unitari, etc. In caso di richiesta di offerta su una pluralità di beni o servizi, la stazione appaltante indica i singoli valori da richiedere per ciascuno di essi],</w:t>
      </w:r>
      <w:r>
        <w:rPr>
          <w:rFonts w:ascii="Titillium" w:hAnsi="Titillium" w:cs="Calibri"/>
          <w:sz w:val="18"/>
          <w:szCs w:val="18"/>
        </w:rPr>
        <w:t xml:space="preserve"> al netto di</w:t>
      </w:r>
      <w:r>
        <w:rPr>
          <w:rFonts w:ascii="Titillium" w:hAnsi="Titillium" w:cs="Calibri"/>
          <w:i/>
          <w:sz w:val="18"/>
          <w:szCs w:val="18"/>
        </w:rPr>
        <w:t xml:space="preserve"> </w:t>
      </w:r>
      <w:r>
        <w:rPr>
          <w:rFonts w:ascii="Titillium" w:hAnsi="Titillium" w:cs="Calibri"/>
          <w:sz w:val="18"/>
          <w:szCs w:val="18"/>
        </w:rPr>
        <w:t xml:space="preserve">Iva e/o di altre imposte e contributi di legge, nonché degli oneri per la sicurezza dovuti a rischi da interferenze. </w:t>
      </w:r>
    </w:p>
    <w:p w14:paraId="65A1C1D6" w14:textId="476C2E6D" w:rsidR="004C53A8" w:rsidRDefault="00870286">
      <w:pPr>
        <w:spacing w:before="60" w:after="60"/>
        <w:ind w:left="284"/>
      </w:pPr>
      <w:r>
        <w:rPr>
          <w:rFonts w:ascii="Titillium" w:hAnsi="Titillium" w:cs="Calibri"/>
          <w:sz w:val="18"/>
          <w:szCs w:val="18"/>
        </w:rPr>
        <w:t>Verranno prese in considerazione fino a</w:t>
      </w:r>
      <w:r w:rsidR="00D84BB7">
        <w:rPr>
          <w:rFonts w:ascii="Titillium" w:hAnsi="Titillium" w:cs="Calibri"/>
          <w:sz w:val="18"/>
          <w:szCs w:val="18"/>
        </w:rPr>
        <w:t xml:space="preserve"> </w:t>
      </w:r>
      <w:r w:rsidR="00D84BB7" w:rsidRPr="00EC60E5">
        <w:rPr>
          <w:rFonts w:ascii="Titillium" w:hAnsi="Titillium" w:cs="Calibri"/>
          <w:i/>
          <w:sz w:val="18"/>
          <w:szCs w:val="18"/>
        </w:rPr>
        <w:t>…</w:t>
      </w:r>
      <w:r w:rsidR="00E03B98" w:rsidRPr="00EC60E5">
        <w:rPr>
          <w:rFonts w:ascii="Titillium" w:hAnsi="Titillium" w:cs="Calibri"/>
          <w:i/>
          <w:sz w:val="18"/>
          <w:szCs w:val="18"/>
        </w:rPr>
        <w:t xml:space="preserve"> </w:t>
      </w:r>
      <w:r w:rsidRPr="00EC60E5">
        <w:rPr>
          <w:rFonts w:ascii="Titillium" w:hAnsi="Titillium" w:cs="Calibri"/>
          <w:i/>
          <w:sz w:val="18"/>
          <w:szCs w:val="18"/>
        </w:rPr>
        <w:t>[</w:t>
      </w:r>
      <w:r w:rsidRPr="00EC60E5">
        <w:rPr>
          <w:rFonts w:ascii="Titillium" w:hAnsi="Titillium" w:cs="Calibri"/>
          <w:i/>
          <w:iCs/>
          <w:sz w:val="18"/>
          <w:szCs w:val="18"/>
        </w:rPr>
        <w:t>indicare</w:t>
      </w:r>
      <w:r w:rsidR="00D84BB7" w:rsidRPr="00EC60E5">
        <w:rPr>
          <w:rFonts w:ascii="Titillium" w:hAnsi="Titillium" w:cs="Calibri"/>
          <w:i/>
          <w:iCs/>
          <w:sz w:val="18"/>
          <w:szCs w:val="18"/>
        </w:rPr>
        <w:t xml:space="preserve"> il numero]</w:t>
      </w:r>
      <w:r>
        <w:rPr>
          <w:rFonts w:ascii="Titillium" w:hAnsi="Titillium" w:cs="Calibri"/>
          <w:i/>
          <w:iCs/>
          <w:sz w:val="18"/>
          <w:szCs w:val="18"/>
        </w:rPr>
        <w:t xml:space="preserve"> </w:t>
      </w:r>
      <w:r w:rsidRPr="00E03B98">
        <w:rPr>
          <w:rFonts w:ascii="Titillium" w:hAnsi="Titillium" w:cs="Calibri"/>
          <w:iCs/>
          <w:sz w:val="18"/>
          <w:szCs w:val="18"/>
        </w:rPr>
        <w:t>cifre decimali</w:t>
      </w:r>
      <w:r w:rsidR="00E03B98">
        <w:rPr>
          <w:rFonts w:ascii="Titillium" w:hAnsi="Titillium" w:cs="Calibri"/>
          <w:sz w:val="18"/>
          <w:szCs w:val="18"/>
        </w:rPr>
        <w:t>;</w:t>
      </w:r>
    </w:p>
    <w:p w14:paraId="09961F4A" w14:textId="0CFD2674" w:rsidR="004C53A8" w:rsidRDefault="00870286">
      <w:pPr>
        <w:numPr>
          <w:ilvl w:val="2"/>
          <w:numId w:val="3"/>
        </w:numPr>
        <w:spacing w:before="60" w:after="60"/>
        <w:ind w:left="284" w:hanging="284"/>
      </w:pPr>
      <w:r>
        <w:rPr>
          <w:rFonts w:ascii="Titillium" w:hAnsi="Titillium" w:cs="Calibri"/>
          <w:i/>
          <w:sz w:val="18"/>
          <w:szCs w:val="18"/>
        </w:rPr>
        <w:t>[ad esclusione delle forniture senza posa in opera e dei servizi di natura intellettuale]</w:t>
      </w:r>
      <w:r w:rsidR="00140144">
        <w:rPr>
          <w:rFonts w:ascii="Titillium" w:hAnsi="Titillium" w:cs="Calibri"/>
          <w:sz w:val="18"/>
          <w:szCs w:val="18"/>
        </w:rPr>
        <w:t xml:space="preserve"> </w:t>
      </w:r>
      <w:r>
        <w:rPr>
          <w:rFonts w:ascii="Titillium" w:hAnsi="Titillium" w:cs="Calibri"/>
          <w:sz w:val="18"/>
          <w:szCs w:val="18"/>
        </w:rPr>
        <w:t>la stima dei costi aziendali relativi alla salute ed alla sicurezza sui luoghi di lavoro</w:t>
      </w:r>
      <w:r w:rsidR="00E03B98">
        <w:rPr>
          <w:rFonts w:ascii="Titillium" w:hAnsi="Titillium" w:cs="Calibri"/>
          <w:sz w:val="18"/>
          <w:szCs w:val="18"/>
        </w:rPr>
        <w:t>;</w:t>
      </w:r>
      <w:r>
        <w:rPr>
          <w:rFonts w:ascii="Titillium" w:hAnsi="Titillium" w:cs="Calibri"/>
          <w:sz w:val="18"/>
          <w:szCs w:val="18"/>
        </w:rPr>
        <w:t xml:space="preserve"> </w:t>
      </w:r>
    </w:p>
    <w:p w14:paraId="5F3B069D" w14:textId="6BA0FFD7" w:rsidR="004C53A8" w:rsidRDefault="00870286">
      <w:pPr>
        <w:numPr>
          <w:ilvl w:val="2"/>
          <w:numId w:val="3"/>
        </w:numPr>
        <w:spacing w:before="60" w:after="60"/>
        <w:ind w:left="284" w:hanging="284"/>
      </w:pPr>
      <w:r>
        <w:rPr>
          <w:rFonts w:ascii="Titillium" w:hAnsi="Titillium" w:cs="Calibri"/>
          <w:i/>
          <w:sz w:val="18"/>
          <w:szCs w:val="18"/>
        </w:rPr>
        <w:t xml:space="preserve">[ad esclusione delle forniture senza posa in opera e dei servizi di natura intellettuale] </w:t>
      </w:r>
      <w:r>
        <w:rPr>
          <w:rFonts w:ascii="Titillium" w:hAnsi="Titillium" w:cs="Calibri"/>
          <w:sz w:val="18"/>
          <w:szCs w:val="18"/>
        </w:rPr>
        <w:t>la stima dei costi d</w:t>
      </w:r>
      <w:r w:rsidR="00E03B98">
        <w:rPr>
          <w:rFonts w:ascii="Titillium" w:hAnsi="Titillium" w:cs="Calibri"/>
          <w:sz w:val="18"/>
          <w:szCs w:val="18"/>
        </w:rPr>
        <w:t>ella manodopera;</w:t>
      </w:r>
    </w:p>
    <w:p w14:paraId="0E71B783" w14:textId="41D72C1C" w:rsidR="0024334B" w:rsidRDefault="00870286" w:rsidP="0024334B">
      <w:pPr>
        <w:numPr>
          <w:ilvl w:val="2"/>
          <w:numId w:val="3"/>
        </w:numPr>
        <w:spacing w:before="60" w:after="60"/>
        <w:ind w:left="284" w:hanging="284"/>
      </w:pPr>
      <w:r>
        <w:rPr>
          <w:rFonts w:ascii="Titillium" w:hAnsi="Titillium" w:cs="Calibri"/>
          <w:b/>
          <w:i/>
          <w:sz w:val="18"/>
          <w:szCs w:val="18"/>
        </w:rPr>
        <w:t>[Facoltativo]</w:t>
      </w:r>
      <w:r>
        <w:rPr>
          <w:rFonts w:ascii="Titillium" w:hAnsi="Titillium" w:cs="Arial"/>
          <w:sz w:val="18"/>
          <w:szCs w:val="18"/>
        </w:rPr>
        <w:t xml:space="preserve"> … </w:t>
      </w:r>
      <w:r w:rsidRPr="00EC60E5">
        <w:rPr>
          <w:rFonts w:ascii="Titillium" w:hAnsi="Titillium" w:cs="Arial"/>
          <w:i/>
          <w:sz w:val="18"/>
          <w:szCs w:val="18"/>
        </w:rPr>
        <w:t>[</w:t>
      </w:r>
      <w:r>
        <w:rPr>
          <w:rFonts w:ascii="Titillium" w:hAnsi="Titillium" w:cs="Arial"/>
          <w:i/>
          <w:sz w:val="18"/>
          <w:szCs w:val="18"/>
        </w:rPr>
        <w:t>indicare gli ulteriori elementi che gli operatori devono valorizzare i quali pur non concorrendo alla formazione dell’offerta economica oggetto di valutazione, servono a fissare alcuni prezzi unitari utili per eventuali proroghe/opzioni]</w:t>
      </w:r>
      <w:r w:rsidR="00E03B98">
        <w:rPr>
          <w:rFonts w:ascii="Titillium" w:hAnsi="Titillium" w:cs="Arial"/>
          <w:i/>
          <w:sz w:val="18"/>
          <w:szCs w:val="18"/>
        </w:rPr>
        <w:t>.</w:t>
      </w:r>
    </w:p>
    <w:p w14:paraId="7175D09E" w14:textId="77777777" w:rsidR="00EC60E5" w:rsidRDefault="00870286">
      <w:pPr>
        <w:spacing w:before="60" w:after="60"/>
        <w:rPr>
          <w:rFonts w:ascii="Titillium" w:hAnsi="Titillium"/>
          <w:sz w:val="18"/>
          <w:szCs w:val="18"/>
        </w:rPr>
      </w:pPr>
      <w:r>
        <w:rPr>
          <w:rFonts w:ascii="Titillium" w:hAnsi="Titillium"/>
          <w:sz w:val="18"/>
          <w:szCs w:val="18"/>
        </w:rPr>
        <w:t>Sono inammissibili le offerte economiche che superino l’importo a base d’asta</w:t>
      </w:r>
      <w:r w:rsidR="00EC60E5">
        <w:rPr>
          <w:rFonts w:ascii="Titillium" w:hAnsi="Titillium"/>
          <w:sz w:val="18"/>
          <w:szCs w:val="18"/>
        </w:rPr>
        <w:t xml:space="preserve">. </w:t>
      </w:r>
      <w:r>
        <w:rPr>
          <w:rFonts w:ascii="Titillium" w:hAnsi="Titillium"/>
          <w:sz w:val="18"/>
          <w:szCs w:val="18"/>
        </w:rPr>
        <w:t xml:space="preserve"> </w:t>
      </w:r>
    </w:p>
    <w:p w14:paraId="32F1BBF3" w14:textId="735E3CCE" w:rsidR="004C53A8" w:rsidRDefault="00870286">
      <w:pPr>
        <w:spacing w:before="60" w:after="60"/>
        <w:rPr>
          <w:rFonts w:ascii="Titillium" w:hAnsi="Titillium"/>
          <w:i/>
          <w:sz w:val="18"/>
          <w:szCs w:val="18"/>
        </w:rPr>
      </w:pPr>
      <w:r w:rsidRPr="00EC60E5">
        <w:rPr>
          <w:rFonts w:ascii="Titillium" w:hAnsi="Titillium"/>
          <w:b/>
          <w:i/>
          <w:sz w:val="18"/>
          <w:szCs w:val="18"/>
        </w:rPr>
        <w:t>[</w:t>
      </w:r>
      <w:r w:rsidR="00EC60E5" w:rsidRPr="00EC60E5">
        <w:rPr>
          <w:rFonts w:ascii="Titillium" w:hAnsi="Titillium"/>
          <w:b/>
          <w:i/>
          <w:sz w:val="18"/>
          <w:szCs w:val="18"/>
        </w:rPr>
        <w:t>Eventuale i</w:t>
      </w:r>
      <w:r w:rsidRPr="00EC60E5">
        <w:rPr>
          <w:rFonts w:ascii="Titillium" w:hAnsi="Titillium"/>
          <w:b/>
          <w:i/>
          <w:sz w:val="18"/>
          <w:szCs w:val="18"/>
        </w:rPr>
        <w:t xml:space="preserve">n caso di pubblicazione dei prezzi di riferimento dei beni o servizi </w:t>
      </w:r>
      <w:r w:rsidR="00EC60E5" w:rsidRPr="00EC60E5">
        <w:rPr>
          <w:rFonts w:ascii="Titillium" w:hAnsi="Titillium"/>
          <w:b/>
          <w:i/>
          <w:sz w:val="18"/>
          <w:szCs w:val="18"/>
        </w:rPr>
        <w:t>relativi all’</w:t>
      </w:r>
      <w:r w:rsidRPr="00EC60E5">
        <w:rPr>
          <w:rFonts w:ascii="Titillium" w:hAnsi="Titillium"/>
          <w:b/>
          <w:i/>
          <w:sz w:val="18"/>
          <w:szCs w:val="18"/>
        </w:rPr>
        <w:t>oggetto dell’appalto</w:t>
      </w:r>
      <w:r w:rsidR="00EC60E5" w:rsidRPr="00EC60E5">
        <w:rPr>
          <w:rFonts w:ascii="Titillium" w:hAnsi="Titillium"/>
          <w:b/>
          <w:i/>
          <w:sz w:val="18"/>
          <w:szCs w:val="18"/>
        </w:rPr>
        <w:t>]</w:t>
      </w:r>
      <w:r w:rsidR="009519DD">
        <w:rPr>
          <w:rFonts w:ascii="Titillium" w:hAnsi="Titillium"/>
          <w:i/>
          <w:sz w:val="18"/>
          <w:szCs w:val="18"/>
        </w:rPr>
        <w:t xml:space="preserve"> </w:t>
      </w:r>
      <w:r w:rsidR="00EC60E5">
        <w:rPr>
          <w:rFonts w:ascii="Titillium" w:hAnsi="Titillium"/>
          <w:sz w:val="18"/>
          <w:szCs w:val="18"/>
        </w:rPr>
        <w:t xml:space="preserve">Sono inammissibili le offerte economiche che superino l’importo a base d’asta </w:t>
      </w:r>
      <w:r>
        <w:rPr>
          <w:rFonts w:ascii="Titillium" w:hAnsi="Titillium"/>
          <w:sz w:val="18"/>
          <w:szCs w:val="18"/>
        </w:rPr>
        <w:t xml:space="preserve">o che non siano formulate nel rispetto dei prezzi di riferimento indicati all’articolo </w:t>
      </w:r>
      <w:r>
        <w:rPr>
          <w:rFonts w:ascii="Titillium" w:hAnsi="Titillium"/>
          <w:sz w:val="18"/>
          <w:szCs w:val="18"/>
        </w:rPr>
        <w:fldChar w:fldCharType="begin"/>
      </w:r>
      <w:r>
        <w:rPr>
          <w:rFonts w:ascii="Titillium" w:hAnsi="Titillium"/>
          <w:sz w:val="18"/>
          <w:szCs w:val="18"/>
        </w:rPr>
        <w:instrText>REF _Ref498597801 \r \h</w:instrText>
      </w:r>
      <w:r>
        <w:rPr>
          <w:rFonts w:ascii="Titillium" w:hAnsi="Titillium"/>
          <w:sz w:val="18"/>
          <w:szCs w:val="18"/>
        </w:rPr>
      </w:r>
      <w:r>
        <w:rPr>
          <w:rFonts w:ascii="Titillium" w:hAnsi="Titillium"/>
          <w:sz w:val="18"/>
          <w:szCs w:val="18"/>
        </w:rPr>
        <w:fldChar w:fldCharType="separate"/>
      </w:r>
      <w:r w:rsidR="006F0CBC">
        <w:rPr>
          <w:rFonts w:ascii="Titillium" w:hAnsi="Titillium"/>
          <w:sz w:val="18"/>
          <w:szCs w:val="18"/>
        </w:rPr>
        <w:t>3</w:t>
      </w:r>
      <w:r>
        <w:rPr>
          <w:rFonts w:ascii="Titillium" w:hAnsi="Titillium"/>
          <w:sz w:val="18"/>
          <w:szCs w:val="18"/>
        </w:rPr>
        <w:fldChar w:fldCharType="end"/>
      </w:r>
      <w:r>
        <w:rPr>
          <w:rFonts w:ascii="Titillium" w:hAnsi="Titillium"/>
          <w:sz w:val="18"/>
          <w:szCs w:val="18"/>
        </w:rPr>
        <w:t xml:space="preserve"> del presente disciplinare</w:t>
      </w:r>
      <w:r>
        <w:rPr>
          <w:rFonts w:ascii="Titillium" w:hAnsi="Titillium"/>
          <w:i/>
          <w:sz w:val="18"/>
          <w:szCs w:val="18"/>
        </w:rPr>
        <w:t>.</w:t>
      </w:r>
    </w:p>
    <w:p w14:paraId="26BD8719" w14:textId="77777777" w:rsidR="00E03B98" w:rsidRDefault="00E03B98">
      <w:pPr>
        <w:spacing w:before="60" w:after="60"/>
      </w:pPr>
    </w:p>
    <w:tbl>
      <w:tblPr>
        <w:tblW w:w="9210" w:type="dxa"/>
        <w:tblInd w:w="-108" w:type="dxa"/>
        <w:tblLook w:val="04A0" w:firstRow="1" w:lastRow="0" w:firstColumn="1" w:lastColumn="0" w:noHBand="0" w:noVBand="1"/>
      </w:tblPr>
      <w:tblGrid>
        <w:gridCol w:w="9210"/>
      </w:tblGrid>
      <w:tr w:rsidR="004C53A8" w14:paraId="46E16378" w14:textId="77777777">
        <w:tc>
          <w:tcPr>
            <w:tcW w:w="9210" w:type="dxa"/>
            <w:tcBorders>
              <w:top w:val="single" w:sz="4" w:space="0" w:color="000000"/>
              <w:left w:val="single" w:sz="4" w:space="0" w:color="000000"/>
              <w:bottom w:val="single" w:sz="4" w:space="0" w:color="000000"/>
              <w:right w:val="single" w:sz="4" w:space="0" w:color="000000"/>
            </w:tcBorders>
          </w:tcPr>
          <w:p w14:paraId="7EC42C38" w14:textId="087F7440" w:rsidR="004C53A8" w:rsidRDefault="00870286" w:rsidP="009B76BD">
            <w:pPr>
              <w:spacing w:before="60" w:after="60"/>
              <w:rPr>
                <w:rFonts w:ascii="Titillium" w:hAnsi="Titillium"/>
                <w:i/>
                <w:sz w:val="18"/>
                <w:szCs w:val="18"/>
              </w:rPr>
            </w:pPr>
            <w:r>
              <w:rPr>
                <w:rFonts w:ascii="Titillium" w:hAnsi="Titillium"/>
                <w:i/>
                <w:sz w:val="18"/>
                <w:szCs w:val="18"/>
              </w:rPr>
              <w:t xml:space="preserve">N.B. </w:t>
            </w:r>
            <w:r w:rsidR="009B76BD">
              <w:rPr>
                <w:rFonts w:ascii="Titillium" w:hAnsi="Titillium"/>
                <w:i/>
                <w:sz w:val="18"/>
                <w:szCs w:val="18"/>
              </w:rPr>
              <w:t>Q</w:t>
            </w:r>
            <w:r>
              <w:rPr>
                <w:rFonts w:ascii="Titillium" w:hAnsi="Titillium"/>
                <w:i/>
                <w:sz w:val="18"/>
                <w:szCs w:val="18"/>
              </w:rPr>
              <w:t>uando la stazione appaltante richiede l’indicazione di più valori che possono risultare discordanti (ad esempio prezzo e ribasso) indica anche un criterio di prevalenza.</w:t>
            </w:r>
          </w:p>
        </w:tc>
      </w:tr>
    </w:tbl>
    <w:p w14:paraId="4FB1C7A3" w14:textId="77777777" w:rsidR="004C53A8" w:rsidRDefault="00870286">
      <w:pPr>
        <w:pStyle w:val="Titolo2"/>
        <w:numPr>
          <w:ilvl w:val="0"/>
          <w:numId w:val="4"/>
        </w:numPr>
        <w:ind w:left="357" w:hanging="357"/>
        <w:rPr>
          <w:rFonts w:ascii="Titillium" w:hAnsi="Titillium"/>
          <w:sz w:val="18"/>
          <w:szCs w:val="18"/>
        </w:rPr>
      </w:pPr>
      <w:bookmarkStart w:id="1909" w:name="_Toc353990398"/>
      <w:bookmarkStart w:id="1910" w:name="_Ref498421982"/>
      <w:bookmarkStart w:id="1911" w:name="_Toc416423371"/>
      <w:bookmarkStart w:id="1912" w:name="_Toc406754188"/>
      <w:bookmarkStart w:id="1913" w:name="_Toc406058387"/>
      <w:bookmarkStart w:id="1914" w:name="_Toc403471279"/>
      <w:bookmarkStart w:id="1915" w:name="_Toc397422872"/>
      <w:bookmarkStart w:id="1916" w:name="_Toc397346831"/>
      <w:bookmarkStart w:id="1917" w:name="_Toc393706916"/>
      <w:bookmarkStart w:id="1918" w:name="_Toc393700843"/>
      <w:bookmarkStart w:id="1919" w:name="_Toc393283184"/>
      <w:bookmarkStart w:id="1920" w:name="_Toc393272668"/>
      <w:bookmarkStart w:id="1921" w:name="_Toc393272610"/>
      <w:bookmarkStart w:id="1922" w:name="_Toc393187854"/>
      <w:bookmarkStart w:id="1923" w:name="_Toc393112137"/>
      <w:bookmarkStart w:id="1924" w:name="_Toc393110573"/>
      <w:bookmarkStart w:id="1925" w:name="_Toc392577506"/>
      <w:bookmarkStart w:id="1926" w:name="_Toc391036065"/>
      <w:bookmarkStart w:id="1927" w:name="_Toc391035992"/>
      <w:bookmarkStart w:id="1928" w:name="_Toc380501879"/>
      <w:bookmarkStart w:id="1929" w:name="_Toc95495909"/>
      <w:bookmarkEnd w:id="1909"/>
      <w:r>
        <w:rPr>
          <w:rFonts w:ascii="Titillium" w:hAnsi="Titillium"/>
          <w:sz w:val="18"/>
          <w:szCs w:val="18"/>
        </w:rPr>
        <w:t>CRITERIO DI AGGIUDICAZIONE</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72449845" w14:textId="77777777" w:rsidR="004C53A8" w:rsidRDefault="00870286">
      <w:pPr>
        <w:spacing w:before="60" w:after="60"/>
        <w:rPr>
          <w:rFonts w:ascii="Titillium" w:hAnsi="Titillium" w:cs="Calibri"/>
          <w:sz w:val="18"/>
          <w:szCs w:val="18"/>
          <w:lang w:eastAsia="it-IT"/>
        </w:rPr>
      </w:pPr>
      <w:r>
        <w:rPr>
          <w:rFonts w:ascii="Titillium" w:hAnsi="Titillium" w:cs="Calibri"/>
          <w:sz w:val="18"/>
          <w:szCs w:val="18"/>
          <w:lang w:eastAsia="it-IT"/>
        </w:rPr>
        <w:t>L’appalto è aggiudicato in base al criterio dell’offerta economicamente più vantaggiosa individuata sulla base del miglior rapporto qualità/prezzo, ai sensi dell’articolo 95, comma 2 del Codice.</w:t>
      </w:r>
    </w:p>
    <w:p w14:paraId="4C928A06" w14:textId="1CC0D527" w:rsidR="004C53A8" w:rsidRDefault="00870286">
      <w:pPr>
        <w:spacing w:before="60" w:after="60"/>
        <w:rPr>
          <w:rFonts w:ascii="Titillium" w:hAnsi="Titillium" w:cs="Calibri"/>
          <w:i/>
          <w:sz w:val="18"/>
          <w:szCs w:val="18"/>
          <w:lang w:eastAsia="it-IT"/>
        </w:rPr>
      </w:pPr>
      <w:r>
        <w:rPr>
          <w:rFonts w:ascii="Titillium" w:hAnsi="Titillium" w:cs="Calibri"/>
          <w:sz w:val="18"/>
          <w:szCs w:val="18"/>
          <w:lang w:eastAsia="it-IT"/>
        </w:rPr>
        <w:t xml:space="preserve">La valutazione dell’offerta tecnica e dell’offerta economica è effettuata in base ai seguenti punteggi </w:t>
      </w:r>
      <w:r>
        <w:rPr>
          <w:rFonts w:ascii="Titillium" w:hAnsi="Titillium" w:cs="Calibri"/>
          <w:i/>
          <w:sz w:val="18"/>
          <w:szCs w:val="18"/>
          <w:lang w:eastAsia="it-IT"/>
        </w:rPr>
        <w:t>[la stazione appaltante, ai sensi dell’articolo 95, comma 10-bis del Codice, valorizza gli elementi qualitativi dell’offerta e individua criteri tali da garantire un confronto concorrenziale effettivo sui profili tecnici. A tal fine la stazione appaltante stabilisce un tetto massimo per il punteggio economico entro il limite del 30 per cento del punteggio complessivo].</w:t>
      </w:r>
    </w:p>
    <w:p w14:paraId="2CBDEE12" w14:textId="77777777" w:rsidR="00E03B98" w:rsidRDefault="00E03B98">
      <w:pPr>
        <w:spacing w:before="60" w:after="60"/>
      </w:pPr>
    </w:p>
    <w:tbl>
      <w:tblPr>
        <w:tblW w:w="9210" w:type="dxa"/>
        <w:tblInd w:w="-108" w:type="dxa"/>
        <w:tblLook w:val="04A0" w:firstRow="1" w:lastRow="0" w:firstColumn="1" w:lastColumn="0" w:noHBand="0" w:noVBand="1"/>
      </w:tblPr>
      <w:tblGrid>
        <w:gridCol w:w="4606"/>
        <w:gridCol w:w="4604"/>
      </w:tblGrid>
      <w:tr w:rsidR="004C53A8" w14:paraId="2E3F6BA5"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Pr>
          <w:p w14:paraId="2CC5E4DE" w14:textId="77777777" w:rsidR="004C53A8" w:rsidRDefault="004C53A8">
            <w:pPr>
              <w:spacing w:before="60" w:after="60"/>
              <w:rPr>
                <w:rFonts w:ascii="Titillium" w:hAnsi="Titillium" w:cs="Calibri"/>
                <w:i/>
                <w:sz w:val="18"/>
                <w:szCs w:val="18"/>
                <w:lang w:eastAsia="it-IT"/>
              </w:rPr>
            </w:pPr>
          </w:p>
        </w:tc>
        <w:tc>
          <w:tcPr>
            <w:tcW w:w="4604" w:type="dxa"/>
            <w:tcBorders>
              <w:top w:val="single" w:sz="4" w:space="0" w:color="000000"/>
              <w:left w:val="single" w:sz="4" w:space="0" w:color="000000"/>
              <w:bottom w:val="single" w:sz="4" w:space="0" w:color="000000"/>
              <w:right w:val="single" w:sz="4" w:space="0" w:color="000000"/>
            </w:tcBorders>
            <w:shd w:val="clear" w:color="auto" w:fill="D9D9D9"/>
          </w:tcPr>
          <w:p w14:paraId="3EE9E693" w14:textId="77777777" w:rsidR="004C53A8" w:rsidRDefault="00870286">
            <w:pPr>
              <w:spacing w:before="60" w:after="60"/>
              <w:jc w:val="center"/>
              <w:rPr>
                <w:rFonts w:ascii="Titillium" w:hAnsi="Titillium" w:cs="Calibri"/>
                <w:b/>
                <w:sz w:val="18"/>
                <w:szCs w:val="18"/>
                <w:lang w:eastAsia="it-IT"/>
              </w:rPr>
            </w:pPr>
            <w:r>
              <w:rPr>
                <w:rFonts w:ascii="Titillium" w:hAnsi="Titillium" w:cs="Calibri"/>
                <w:b/>
                <w:sz w:val="18"/>
                <w:szCs w:val="18"/>
                <w:lang w:eastAsia="it-IT"/>
              </w:rPr>
              <w:t>PUNTEGGIO MASSIMO</w:t>
            </w:r>
          </w:p>
        </w:tc>
      </w:tr>
      <w:tr w:rsidR="004C53A8" w14:paraId="461DCE14" w14:textId="77777777">
        <w:tc>
          <w:tcPr>
            <w:tcW w:w="4605" w:type="dxa"/>
            <w:tcBorders>
              <w:top w:val="single" w:sz="4" w:space="0" w:color="000000"/>
              <w:left w:val="single" w:sz="4" w:space="0" w:color="000000"/>
              <w:bottom w:val="single" w:sz="4" w:space="0" w:color="000000"/>
              <w:right w:val="single" w:sz="4" w:space="0" w:color="000000"/>
            </w:tcBorders>
          </w:tcPr>
          <w:p w14:paraId="52117567"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tecnica</w:t>
            </w:r>
          </w:p>
        </w:tc>
        <w:tc>
          <w:tcPr>
            <w:tcW w:w="4604" w:type="dxa"/>
            <w:tcBorders>
              <w:top w:val="single" w:sz="4" w:space="0" w:color="000000"/>
              <w:left w:val="single" w:sz="4" w:space="0" w:color="000000"/>
              <w:bottom w:val="single" w:sz="4" w:space="0" w:color="000000"/>
              <w:right w:val="single" w:sz="4" w:space="0" w:color="000000"/>
            </w:tcBorders>
          </w:tcPr>
          <w:p w14:paraId="02D1CFCE" w14:textId="77777777"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w:t>
            </w:r>
          </w:p>
        </w:tc>
      </w:tr>
      <w:tr w:rsidR="004C53A8" w14:paraId="5D2BB62F" w14:textId="77777777">
        <w:tc>
          <w:tcPr>
            <w:tcW w:w="4605" w:type="dxa"/>
            <w:tcBorders>
              <w:top w:val="single" w:sz="4" w:space="0" w:color="000000"/>
              <w:left w:val="single" w:sz="4" w:space="0" w:color="000000"/>
              <w:bottom w:val="single" w:sz="4" w:space="0" w:color="000000"/>
              <w:right w:val="single" w:sz="4" w:space="0" w:color="000000"/>
            </w:tcBorders>
          </w:tcPr>
          <w:p w14:paraId="0077B09C"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economica</w:t>
            </w:r>
          </w:p>
        </w:tc>
        <w:tc>
          <w:tcPr>
            <w:tcW w:w="4604" w:type="dxa"/>
            <w:tcBorders>
              <w:top w:val="single" w:sz="4" w:space="0" w:color="000000"/>
              <w:left w:val="single" w:sz="4" w:space="0" w:color="000000"/>
              <w:bottom w:val="single" w:sz="4" w:space="0" w:color="000000"/>
              <w:right w:val="single" w:sz="4" w:space="0" w:color="000000"/>
            </w:tcBorders>
          </w:tcPr>
          <w:p w14:paraId="0ABF04E7" w14:textId="77777777"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 max 30]</w:t>
            </w:r>
          </w:p>
        </w:tc>
      </w:tr>
      <w:tr w:rsidR="004C53A8" w14:paraId="4A3453B7"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Pr>
          <w:p w14:paraId="70F90B1D"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TOTALE</w:t>
            </w:r>
          </w:p>
        </w:tc>
        <w:tc>
          <w:tcPr>
            <w:tcW w:w="4604" w:type="dxa"/>
            <w:tcBorders>
              <w:top w:val="single" w:sz="4" w:space="0" w:color="000000"/>
              <w:left w:val="single" w:sz="4" w:space="0" w:color="000000"/>
              <w:bottom w:val="single" w:sz="4" w:space="0" w:color="000000"/>
              <w:right w:val="single" w:sz="4" w:space="0" w:color="000000"/>
            </w:tcBorders>
            <w:shd w:val="clear" w:color="auto" w:fill="D9D9D9"/>
          </w:tcPr>
          <w:p w14:paraId="1D2C5E8F"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100</w:t>
            </w:r>
          </w:p>
        </w:tc>
      </w:tr>
    </w:tbl>
    <w:p w14:paraId="547C5D0F" w14:textId="77777777" w:rsidR="004C53A8" w:rsidRDefault="004C53A8">
      <w:pPr>
        <w:spacing w:before="60" w:after="60"/>
        <w:rPr>
          <w:rFonts w:ascii="Titillium" w:hAnsi="Titillium" w:cs="Calibri"/>
          <w:i/>
          <w:sz w:val="18"/>
          <w:szCs w:val="18"/>
          <w:lang w:eastAsia="it-IT"/>
        </w:rPr>
      </w:pPr>
    </w:p>
    <w:p w14:paraId="420AF086" w14:textId="18EA792D" w:rsidR="004C53A8" w:rsidRDefault="004C667D">
      <w:pPr>
        <w:pStyle w:val="Titolo3"/>
        <w:numPr>
          <w:ilvl w:val="1"/>
          <w:numId w:val="4"/>
        </w:numPr>
        <w:ind w:left="426" w:hanging="426"/>
      </w:pPr>
      <w:bookmarkStart w:id="1930" w:name="_Ref497226940"/>
      <w:bookmarkStart w:id="1931" w:name="_Ref497226908"/>
      <w:bookmarkStart w:id="1932" w:name="_Toc95495910"/>
      <w:r>
        <w:rPr>
          <w:rFonts w:ascii="Titillium" w:hAnsi="Titillium"/>
          <w:iCs/>
          <w:caps w:val="0"/>
          <w:sz w:val="18"/>
          <w:szCs w:val="18"/>
        </w:rPr>
        <w:t>CRITERI DI VALUTAZIONE DELL’OFFERTA TECNICA</w:t>
      </w:r>
      <w:bookmarkEnd w:id="1930"/>
      <w:bookmarkEnd w:id="1931"/>
      <w:bookmarkEnd w:id="1932"/>
    </w:p>
    <w:p w14:paraId="6E839A6E" w14:textId="77777777" w:rsidR="00A213AB" w:rsidRDefault="00A213AB" w:rsidP="00A213AB">
      <w:pPr>
        <w:spacing w:before="60" w:after="60"/>
      </w:pPr>
      <w:r>
        <w:rPr>
          <w:rFonts w:ascii="Titillium" w:hAnsi="Titillium" w:cs="Calibri"/>
          <w:sz w:val="18"/>
          <w:szCs w:val="18"/>
          <w:lang w:eastAsia="it-IT"/>
        </w:rPr>
        <w:t>Il punteggio dell’offerta tecnica è attribuito sulla base dei criteri di valutazione elencati nella sottostante tabella</w:t>
      </w:r>
      <w:r>
        <w:rPr>
          <w:rFonts w:ascii="Titillium" w:hAnsi="Titillium"/>
          <w:sz w:val="18"/>
          <w:szCs w:val="18"/>
        </w:rPr>
        <w:t xml:space="preserve"> con</w:t>
      </w:r>
      <w:r>
        <w:rPr>
          <w:rFonts w:ascii="Titillium" w:hAnsi="Titillium" w:cs="Calibri"/>
          <w:sz w:val="18"/>
          <w:szCs w:val="18"/>
          <w:lang w:eastAsia="it-IT"/>
        </w:rPr>
        <w:t xml:space="preserve"> la relativa ripartizione dei punteggi.</w:t>
      </w:r>
    </w:p>
    <w:p w14:paraId="49C86FF6" w14:textId="77777777" w:rsidR="00A213AB" w:rsidRDefault="00A213AB" w:rsidP="00A213AB">
      <w:pPr>
        <w:spacing w:before="60" w:after="60"/>
        <w:rPr>
          <w:rFonts w:ascii="Titillium" w:hAnsi="Titillium" w:cs="Calibri"/>
          <w:sz w:val="18"/>
          <w:szCs w:val="18"/>
          <w:lang w:eastAsia="it-IT"/>
        </w:rPr>
      </w:pPr>
      <w:r w:rsidRPr="00CB6576">
        <w:rPr>
          <w:rFonts w:ascii="Titillium" w:hAnsi="Titillium" w:cs="Calibri"/>
          <w:sz w:val="18"/>
          <w:szCs w:val="18"/>
          <w:lang w:eastAsia="it-IT"/>
        </w:rPr>
        <w:t>Nella colonna identificata con la lettera D vengono indicati i “Punteggi discrezionali”, vale a dire i punteggi il cui coefficiente è attribuito in ragione dell’esercizio della discrezionalità spettante alla</w:t>
      </w:r>
      <w:r>
        <w:rPr>
          <w:rFonts w:ascii="Titillium" w:hAnsi="Titillium" w:cs="Calibri"/>
          <w:sz w:val="18"/>
          <w:szCs w:val="18"/>
          <w:lang w:eastAsia="it-IT"/>
        </w:rPr>
        <w:t xml:space="preserve"> commissione giudicatrice.</w:t>
      </w:r>
    </w:p>
    <w:p w14:paraId="297C0FE7" w14:textId="77777777" w:rsidR="00A213AB" w:rsidRDefault="00A213AB" w:rsidP="00A213AB">
      <w:pPr>
        <w:spacing w:before="60" w:after="60"/>
        <w:rPr>
          <w:rFonts w:ascii="Titillium" w:hAnsi="Titillium" w:cs="Calibri"/>
          <w:sz w:val="18"/>
          <w:szCs w:val="18"/>
          <w:lang w:eastAsia="it-IT"/>
        </w:rPr>
      </w:pPr>
      <w:r>
        <w:rPr>
          <w:rFonts w:ascii="Titillium" w:hAnsi="Titillium" w:cs="Calibri"/>
          <w:sz w:val="18"/>
          <w:szCs w:val="18"/>
          <w:lang w:eastAsia="it-IT"/>
        </w:rPr>
        <w:t>Nella colonna identificata con la lettera Q vengono indicati i “Punteggi quantitativi”, vale a dire i punteggi il cui coefficiente è attribuito mediante applicazione di una formula matematica.</w:t>
      </w:r>
    </w:p>
    <w:p w14:paraId="177ADB1A" w14:textId="77777777" w:rsidR="00A213AB" w:rsidRDefault="00A213AB" w:rsidP="00A213AB">
      <w:pPr>
        <w:spacing w:before="60" w:after="60"/>
        <w:rPr>
          <w:rFonts w:ascii="Titillium" w:hAnsi="Titillium" w:cs="Calibri"/>
          <w:sz w:val="18"/>
          <w:szCs w:val="18"/>
          <w:lang w:eastAsia="it-IT"/>
        </w:rPr>
      </w:pPr>
      <w:r>
        <w:rPr>
          <w:rFonts w:ascii="Titillium" w:hAnsi="Titillium" w:cs="Calibri"/>
          <w:sz w:val="18"/>
          <w:szCs w:val="18"/>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5F34212D" w14:textId="77777777" w:rsidR="00A213AB" w:rsidRDefault="00A213AB" w:rsidP="00A213AB">
      <w:pPr>
        <w:spacing w:before="120" w:after="60"/>
        <w:rPr>
          <w:rFonts w:ascii="Titillium" w:hAnsi="Titillium"/>
          <w:b/>
          <w:i/>
          <w:sz w:val="18"/>
          <w:szCs w:val="18"/>
          <w:lang w:eastAsia="it-IT"/>
        </w:rPr>
      </w:pPr>
      <w:r>
        <w:rPr>
          <w:rFonts w:ascii="Titillium" w:hAnsi="Titillium"/>
          <w:b/>
          <w:i/>
          <w:sz w:val="18"/>
          <w:szCs w:val="18"/>
          <w:lang w:eastAsia="it-IT"/>
        </w:rPr>
        <w:t>Tabella dei criteri discrezionali (D), quantitativi (Q) e tabellari (T) di valutazione dell’offerta tecnica</w:t>
      </w:r>
    </w:p>
    <w:tbl>
      <w:tblPr>
        <w:tblW w:w="5056" w:type="pct"/>
        <w:tblInd w:w="-108" w:type="dxa"/>
        <w:tblLook w:val="04A0" w:firstRow="1" w:lastRow="0" w:firstColumn="1" w:lastColumn="0" w:noHBand="0" w:noVBand="1"/>
      </w:tblPr>
      <w:tblGrid>
        <w:gridCol w:w="448"/>
        <w:gridCol w:w="1762"/>
        <w:gridCol w:w="924"/>
        <w:gridCol w:w="455"/>
        <w:gridCol w:w="498"/>
        <w:gridCol w:w="2064"/>
        <w:gridCol w:w="1057"/>
        <w:gridCol w:w="1067"/>
        <w:gridCol w:w="1038"/>
      </w:tblGrid>
      <w:tr w:rsidR="00A213AB" w14:paraId="560F1114" w14:textId="77777777" w:rsidTr="009A683A">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9A60B"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n°</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93E703" w14:textId="77777777" w:rsidR="00A213AB" w:rsidRDefault="00A213AB" w:rsidP="009A683A">
            <w:pPr>
              <w:spacing w:before="60" w:after="60" w:line="240" w:lineRule="auto"/>
              <w:jc w:val="center"/>
              <w:rPr>
                <w:rFonts w:ascii="Titillium" w:hAnsi="Titillium" w:cs="Calibri"/>
                <w:bCs/>
                <w:smallCaps/>
                <w:sz w:val="18"/>
                <w:szCs w:val="18"/>
                <w:lang w:eastAsia="it-IT"/>
              </w:rPr>
            </w:pPr>
            <w:r>
              <w:rPr>
                <w:rFonts w:ascii="Titillium" w:hAnsi="Titillium" w:cs="Calibri"/>
                <w:bCs/>
                <w:smallCaps/>
                <w:sz w:val="18"/>
                <w:szCs w:val="18"/>
                <w:lang w:eastAsia="it-IT"/>
              </w:rPr>
              <w:t>criteri di valutazione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23109"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max</w:t>
            </w:r>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14F00309" w14:textId="77777777" w:rsidR="00A213AB" w:rsidRDefault="00A213AB" w:rsidP="009A683A">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B11ECD" w14:textId="77777777" w:rsidR="00A213AB" w:rsidRDefault="00A213AB" w:rsidP="009A683A">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F77098"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sub-criteri di valutazione</w:t>
            </w: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A7540F"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D max</w:t>
            </w: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078F2"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Q max</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3CD047" w14:textId="77777777" w:rsidR="00A213AB" w:rsidRDefault="00A213AB" w:rsidP="009A683A">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T max</w:t>
            </w:r>
          </w:p>
        </w:tc>
      </w:tr>
      <w:tr w:rsidR="00A213AB" w14:paraId="6776F6D7" w14:textId="77777777" w:rsidTr="009A683A">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B0F0B94"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1</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2B3BE20B" w14:textId="77777777" w:rsidR="00A213AB" w:rsidRDefault="00A213AB" w:rsidP="009A683A">
            <w:pPr>
              <w:spacing w:before="60" w:after="60" w:line="240" w:lineRule="auto"/>
              <w:jc w:val="center"/>
            </w:pPr>
            <w:r>
              <w:rPr>
                <w:rFonts w:ascii="Titillium" w:hAnsi="Titillium"/>
                <w:bCs/>
                <w:sz w:val="18"/>
                <w:szCs w:val="18"/>
              </w:rPr>
              <w:t xml:space="preserve">… </w:t>
            </w:r>
            <w:r>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335B7918"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574150EE"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7FCA91AD"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1.1</w:t>
            </w:r>
          </w:p>
        </w:tc>
        <w:tc>
          <w:tcPr>
            <w:tcW w:w="2177" w:type="dxa"/>
            <w:tcBorders>
              <w:top w:val="single" w:sz="4" w:space="0" w:color="000000"/>
              <w:left w:val="single" w:sz="4" w:space="0" w:color="000000"/>
              <w:bottom w:val="single" w:sz="4" w:space="0" w:color="000000"/>
              <w:right w:val="single" w:sz="4" w:space="0" w:color="000000"/>
            </w:tcBorders>
            <w:vAlign w:val="center"/>
          </w:tcPr>
          <w:p w14:paraId="1943842C"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E325C3B"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7D0931E0"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64CB548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391C833C" w14:textId="77777777" w:rsidTr="009A683A">
        <w:tc>
          <w:tcPr>
            <w:tcW w:w="451" w:type="dxa"/>
            <w:vMerge/>
            <w:tcBorders>
              <w:top w:val="single" w:sz="4" w:space="0" w:color="000000"/>
              <w:left w:val="single" w:sz="4" w:space="0" w:color="000000"/>
              <w:bottom w:val="single" w:sz="4" w:space="0" w:color="000000"/>
              <w:right w:val="single" w:sz="4" w:space="0" w:color="000000"/>
            </w:tcBorders>
            <w:vAlign w:val="center"/>
          </w:tcPr>
          <w:p w14:paraId="59E88599" w14:textId="77777777" w:rsidR="00A213AB" w:rsidRDefault="00A213AB" w:rsidP="009A683A"/>
        </w:tc>
        <w:tc>
          <w:tcPr>
            <w:tcW w:w="1841" w:type="dxa"/>
            <w:vMerge/>
            <w:tcBorders>
              <w:top w:val="single" w:sz="4" w:space="0" w:color="000000"/>
              <w:left w:val="single" w:sz="4" w:space="0" w:color="000000"/>
              <w:bottom w:val="single" w:sz="4" w:space="0" w:color="000000"/>
              <w:right w:val="single" w:sz="4" w:space="0" w:color="000000"/>
            </w:tcBorders>
            <w:vAlign w:val="center"/>
          </w:tcPr>
          <w:p w14:paraId="485A2336" w14:textId="77777777" w:rsidR="00A213AB" w:rsidRDefault="00A213AB" w:rsidP="009A683A"/>
        </w:tc>
        <w:tc>
          <w:tcPr>
            <w:tcW w:w="962" w:type="dxa"/>
            <w:vMerge/>
            <w:tcBorders>
              <w:top w:val="single" w:sz="4" w:space="0" w:color="000000"/>
              <w:left w:val="single" w:sz="4" w:space="0" w:color="000000"/>
              <w:bottom w:val="single" w:sz="4" w:space="0" w:color="000000"/>
              <w:right w:val="single" w:sz="4" w:space="0" w:color="000000"/>
            </w:tcBorders>
            <w:vAlign w:val="center"/>
          </w:tcPr>
          <w:p w14:paraId="4505A649" w14:textId="77777777" w:rsidR="00A213AB" w:rsidRDefault="00A213AB" w:rsidP="009A683A"/>
        </w:tc>
        <w:tc>
          <w:tcPr>
            <w:tcW w:w="482" w:type="dxa"/>
            <w:tcBorders>
              <w:top w:val="single" w:sz="4" w:space="0" w:color="000000"/>
              <w:left w:val="single" w:sz="4" w:space="0" w:color="000000"/>
              <w:bottom w:val="single" w:sz="4" w:space="0" w:color="000000"/>
              <w:right w:val="single" w:sz="4" w:space="0" w:color="000000"/>
            </w:tcBorders>
          </w:tcPr>
          <w:p w14:paraId="04C905EE"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2EF532E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1.2</w:t>
            </w:r>
          </w:p>
        </w:tc>
        <w:tc>
          <w:tcPr>
            <w:tcW w:w="2177" w:type="dxa"/>
            <w:tcBorders>
              <w:top w:val="single" w:sz="4" w:space="0" w:color="000000"/>
              <w:left w:val="single" w:sz="4" w:space="0" w:color="000000"/>
              <w:bottom w:val="single" w:sz="4" w:space="0" w:color="000000"/>
              <w:right w:val="single" w:sz="4" w:space="0" w:color="000000"/>
            </w:tcBorders>
            <w:vAlign w:val="center"/>
          </w:tcPr>
          <w:p w14:paraId="0FAED802" w14:textId="77777777" w:rsidR="00A213AB" w:rsidRDefault="00A213AB" w:rsidP="009A683A">
            <w:pPr>
              <w:spacing w:before="60" w:after="60" w:line="240" w:lineRule="auto"/>
              <w:jc w:val="center"/>
              <w:rPr>
                <w:rFonts w:ascii="Titillium" w:hAnsi="Titillium"/>
                <w:i/>
                <w:sz w:val="18"/>
                <w:szCs w:val="18"/>
              </w:rPr>
            </w:pPr>
            <w:r>
              <w:rPr>
                <w:rFonts w:ascii="Titillium" w:hAnsi="Titillium"/>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41A18384"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6C3F4108"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51AEC731"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0AA8AECC" w14:textId="77777777" w:rsidTr="009A683A">
        <w:tc>
          <w:tcPr>
            <w:tcW w:w="451" w:type="dxa"/>
            <w:vMerge w:val="restart"/>
            <w:tcBorders>
              <w:top w:val="single" w:sz="4" w:space="0" w:color="000000"/>
              <w:left w:val="single" w:sz="4" w:space="0" w:color="000000"/>
              <w:bottom w:val="single" w:sz="4" w:space="0" w:color="000000"/>
              <w:right w:val="single" w:sz="4" w:space="0" w:color="000000"/>
            </w:tcBorders>
            <w:vAlign w:val="center"/>
          </w:tcPr>
          <w:p w14:paraId="15E365DF"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2</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4FC7E404"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criterio]</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14:paraId="42835CA6"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w:t>
            </w:r>
          </w:p>
        </w:tc>
        <w:tc>
          <w:tcPr>
            <w:tcW w:w="482" w:type="dxa"/>
            <w:tcBorders>
              <w:top w:val="single" w:sz="4" w:space="0" w:color="000000"/>
              <w:left w:val="single" w:sz="4" w:space="0" w:color="000000"/>
              <w:bottom w:val="single" w:sz="4" w:space="0" w:color="000000"/>
              <w:right w:val="single" w:sz="4" w:space="0" w:color="000000"/>
            </w:tcBorders>
          </w:tcPr>
          <w:p w14:paraId="4486150F"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66E2C899"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2.1</w:t>
            </w:r>
          </w:p>
        </w:tc>
        <w:tc>
          <w:tcPr>
            <w:tcW w:w="2177" w:type="dxa"/>
            <w:tcBorders>
              <w:top w:val="single" w:sz="4" w:space="0" w:color="000000"/>
              <w:left w:val="single" w:sz="4" w:space="0" w:color="000000"/>
              <w:bottom w:val="single" w:sz="4" w:space="0" w:color="000000"/>
              <w:right w:val="single" w:sz="4" w:space="0" w:color="000000"/>
            </w:tcBorders>
            <w:vAlign w:val="center"/>
          </w:tcPr>
          <w:p w14:paraId="253681DB" w14:textId="77777777" w:rsidR="00A213AB" w:rsidRDefault="00A213AB" w:rsidP="009A683A">
            <w:pPr>
              <w:spacing w:before="60" w:after="60" w:line="240" w:lineRule="auto"/>
              <w:jc w:val="center"/>
              <w:rPr>
                <w:rFonts w:ascii="Titillium" w:hAnsi="Titillium"/>
                <w:bCs/>
                <w:i/>
                <w:sz w:val="18"/>
                <w:szCs w:val="18"/>
              </w:rPr>
            </w:pPr>
            <w:r>
              <w:rPr>
                <w:rFonts w:ascii="Titillium" w:hAnsi="Titillium"/>
                <w:bCs/>
                <w:i/>
                <w:sz w:val="18"/>
                <w:szCs w:val="18"/>
              </w:rPr>
              <w:t>…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3720741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731285C5"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28A2DA9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690CD204" w14:textId="77777777" w:rsidTr="009A683A">
        <w:tc>
          <w:tcPr>
            <w:tcW w:w="451" w:type="dxa"/>
            <w:vMerge/>
            <w:tcBorders>
              <w:top w:val="single" w:sz="4" w:space="0" w:color="000000"/>
              <w:left w:val="single" w:sz="4" w:space="0" w:color="000000"/>
              <w:bottom w:val="single" w:sz="4" w:space="0" w:color="000000"/>
              <w:right w:val="single" w:sz="4" w:space="0" w:color="000000"/>
            </w:tcBorders>
            <w:vAlign w:val="center"/>
          </w:tcPr>
          <w:p w14:paraId="044676B8" w14:textId="77777777" w:rsidR="00A213AB" w:rsidRDefault="00A213AB" w:rsidP="009A683A"/>
        </w:tc>
        <w:tc>
          <w:tcPr>
            <w:tcW w:w="1841" w:type="dxa"/>
            <w:vMerge/>
            <w:tcBorders>
              <w:top w:val="single" w:sz="4" w:space="0" w:color="000000"/>
              <w:left w:val="single" w:sz="4" w:space="0" w:color="000000"/>
              <w:bottom w:val="single" w:sz="4" w:space="0" w:color="000000"/>
              <w:right w:val="single" w:sz="4" w:space="0" w:color="000000"/>
            </w:tcBorders>
            <w:vAlign w:val="center"/>
          </w:tcPr>
          <w:p w14:paraId="1E452393" w14:textId="77777777" w:rsidR="00A213AB" w:rsidRDefault="00A213AB" w:rsidP="009A683A"/>
        </w:tc>
        <w:tc>
          <w:tcPr>
            <w:tcW w:w="962" w:type="dxa"/>
            <w:vMerge/>
            <w:tcBorders>
              <w:top w:val="single" w:sz="4" w:space="0" w:color="000000"/>
              <w:left w:val="single" w:sz="4" w:space="0" w:color="000000"/>
              <w:bottom w:val="single" w:sz="4" w:space="0" w:color="000000"/>
              <w:right w:val="single" w:sz="4" w:space="0" w:color="000000"/>
            </w:tcBorders>
            <w:vAlign w:val="center"/>
          </w:tcPr>
          <w:p w14:paraId="5D7270C1" w14:textId="77777777" w:rsidR="00A213AB" w:rsidRDefault="00A213AB" w:rsidP="009A683A"/>
        </w:tc>
        <w:tc>
          <w:tcPr>
            <w:tcW w:w="482" w:type="dxa"/>
            <w:tcBorders>
              <w:top w:val="single" w:sz="4" w:space="0" w:color="000000"/>
              <w:left w:val="single" w:sz="4" w:space="0" w:color="000000"/>
              <w:bottom w:val="single" w:sz="4" w:space="0" w:color="000000"/>
              <w:right w:val="single" w:sz="4" w:space="0" w:color="000000"/>
            </w:tcBorders>
          </w:tcPr>
          <w:p w14:paraId="0A5C785B" w14:textId="77777777" w:rsidR="00A213AB" w:rsidRDefault="00A213AB" w:rsidP="009A683A">
            <w:pPr>
              <w:spacing w:before="60" w:after="60" w:line="240" w:lineRule="auto"/>
              <w:jc w:val="center"/>
              <w:rPr>
                <w:rFonts w:ascii="Titillium" w:hAnsi="Titillium"/>
                <w:sz w:val="18"/>
                <w:szCs w:val="18"/>
              </w:rPr>
            </w:pPr>
          </w:p>
        </w:tc>
        <w:tc>
          <w:tcPr>
            <w:tcW w:w="503" w:type="dxa"/>
            <w:tcBorders>
              <w:top w:val="single" w:sz="4" w:space="0" w:color="000000"/>
              <w:left w:val="single" w:sz="4" w:space="0" w:color="000000"/>
              <w:bottom w:val="single" w:sz="4" w:space="0" w:color="000000"/>
              <w:right w:val="single" w:sz="4" w:space="0" w:color="000000"/>
            </w:tcBorders>
            <w:vAlign w:val="center"/>
          </w:tcPr>
          <w:p w14:paraId="1881DF2D"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2.2</w:t>
            </w:r>
          </w:p>
        </w:tc>
        <w:tc>
          <w:tcPr>
            <w:tcW w:w="2177" w:type="dxa"/>
            <w:tcBorders>
              <w:top w:val="single" w:sz="4" w:space="0" w:color="000000"/>
              <w:left w:val="single" w:sz="4" w:space="0" w:color="000000"/>
              <w:bottom w:val="single" w:sz="4" w:space="0" w:color="000000"/>
              <w:right w:val="single" w:sz="4" w:space="0" w:color="000000"/>
            </w:tcBorders>
            <w:vAlign w:val="center"/>
          </w:tcPr>
          <w:p w14:paraId="495B89F4" w14:textId="77777777" w:rsidR="00A213AB" w:rsidRDefault="00A213AB" w:rsidP="009A683A">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0" w:type="dxa"/>
            <w:tcBorders>
              <w:top w:val="single" w:sz="4" w:space="0" w:color="000000"/>
              <w:left w:val="single" w:sz="4" w:space="0" w:color="000000"/>
              <w:bottom w:val="single" w:sz="4" w:space="0" w:color="000000"/>
              <w:right w:val="single" w:sz="4" w:space="0" w:color="000000"/>
            </w:tcBorders>
            <w:vAlign w:val="center"/>
          </w:tcPr>
          <w:p w14:paraId="57C82FDA"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c>
          <w:tcPr>
            <w:tcW w:w="1121" w:type="dxa"/>
            <w:tcBorders>
              <w:top w:val="single" w:sz="4" w:space="0" w:color="000000"/>
              <w:left w:val="single" w:sz="4" w:space="0" w:color="000000"/>
              <w:bottom w:val="single" w:sz="4" w:space="0" w:color="000000"/>
              <w:right w:val="single" w:sz="4" w:space="0" w:color="000000"/>
            </w:tcBorders>
            <w:vAlign w:val="center"/>
          </w:tcPr>
          <w:p w14:paraId="35E0B2B6" w14:textId="77777777" w:rsidR="00A213AB" w:rsidRDefault="00A213AB" w:rsidP="009A683A">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0834B4E8" w14:textId="77777777" w:rsidR="00A213AB" w:rsidRDefault="00A213AB" w:rsidP="009A683A">
            <w:pPr>
              <w:spacing w:before="60" w:after="60" w:line="240" w:lineRule="auto"/>
              <w:jc w:val="center"/>
              <w:rPr>
                <w:rFonts w:ascii="Titillium" w:hAnsi="Titillium"/>
                <w:sz w:val="18"/>
                <w:szCs w:val="18"/>
              </w:rPr>
            </w:pPr>
            <w:r>
              <w:rPr>
                <w:rFonts w:ascii="Titillium" w:hAnsi="Titillium"/>
                <w:sz w:val="18"/>
                <w:szCs w:val="18"/>
              </w:rPr>
              <w:t>…</w:t>
            </w:r>
          </w:p>
        </w:tc>
      </w:tr>
      <w:tr w:rsidR="00A213AB" w14:paraId="3105A384" w14:textId="77777777" w:rsidTr="009A683A">
        <w:tc>
          <w:tcPr>
            <w:tcW w:w="4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1C3F6" w14:textId="77777777" w:rsidR="00A213AB" w:rsidRDefault="00A213AB" w:rsidP="009A683A">
            <w:pPr>
              <w:spacing w:before="60" w:after="60" w:line="240" w:lineRule="auto"/>
              <w:jc w:val="center"/>
              <w:rPr>
                <w:rFonts w:ascii="Titillium" w:hAnsi="Titillium"/>
                <w:sz w:val="18"/>
                <w:szCs w:val="18"/>
                <w:lang w:eastAsia="it-IT"/>
              </w:rPr>
            </w:pP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278C69"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Totale</w:t>
            </w:r>
          </w:p>
        </w:tc>
        <w:tc>
          <w:tcPr>
            <w:tcW w:w="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425C07" w14:textId="77777777" w:rsidR="00A213AB" w:rsidRDefault="00A213AB" w:rsidP="009A683A">
            <w:pPr>
              <w:spacing w:before="60" w:after="60" w:line="240" w:lineRule="auto"/>
              <w:jc w:val="center"/>
              <w:rPr>
                <w:rFonts w:ascii="Titillium" w:hAnsi="Titillium"/>
                <w:bCs/>
                <w:sz w:val="18"/>
                <w:szCs w:val="18"/>
              </w:rPr>
            </w:pPr>
            <w:r>
              <w:rPr>
                <w:rFonts w:ascii="Titillium" w:hAnsi="Titillium"/>
                <w:bCs/>
                <w:sz w:val="18"/>
                <w:szCs w:val="18"/>
              </w:rPr>
              <w:t>100</w:t>
            </w:r>
          </w:p>
        </w:tc>
        <w:tc>
          <w:tcPr>
            <w:tcW w:w="482" w:type="dxa"/>
            <w:tcBorders>
              <w:top w:val="single" w:sz="4" w:space="0" w:color="000000"/>
              <w:left w:val="single" w:sz="4" w:space="0" w:color="000000"/>
              <w:bottom w:val="single" w:sz="4" w:space="0" w:color="000000"/>
              <w:right w:val="single" w:sz="4" w:space="0" w:color="000000"/>
            </w:tcBorders>
            <w:shd w:val="clear" w:color="auto" w:fill="D9D9D9"/>
          </w:tcPr>
          <w:p w14:paraId="3BD1681D" w14:textId="77777777" w:rsidR="00A213AB" w:rsidRDefault="00A213AB" w:rsidP="009A683A">
            <w:pPr>
              <w:spacing w:before="60" w:after="60" w:line="240" w:lineRule="auto"/>
              <w:jc w:val="center"/>
              <w:rPr>
                <w:rFonts w:ascii="Titillium" w:hAnsi="Titillium"/>
                <w:sz w:val="18"/>
                <w:szCs w:val="18"/>
                <w:lang w:eastAsia="it-IT"/>
              </w:rPr>
            </w:pPr>
          </w:p>
        </w:tc>
        <w:tc>
          <w:tcPr>
            <w:tcW w:w="5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3E5D7" w14:textId="77777777" w:rsidR="00A213AB" w:rsidRDefault="00A213AB" w:rsidP="009A683A">
            <w:pPr>
              <w:spacing w:before="60" w:after="60" w:line="240" w:lineRule="auto"/>
              <w:jc w:val="center"/>
              <w:rPr>
                <w:rFonts w:ascii="Titillium" w:hAnsi="Titillium"/>
                <w:sz w:val="18"/>
                <w:szCs w:val="18"/>
                <w:lang w:eastAsia="it-IT"/>
              </w:rPr>
            </w:pP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E569FC" w14:textId="77777777" w:rsidR="00A213AB" w:rsidRDefault="00A213AB" w:rsidP="009A683A">
            <w:pPr>
              <w:spacing w:before="60" w:after="60" w:line="240" w:lineRule="auto"/>
              <w:jc w:val="center"/>
              <w:rPr>
                <w:rFonts w:ascii="Titillium" w:hAnsi="Titillium"/>
                <w:sz w:val="18"/>
                <w:szCs w:val="18"/>
                <w:lang w:eastAsia="it-IT"/>
              </w:rPr>
            </w:pP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FAC35" w14:textId="77777777" w:rsidR="00A213AB" w:rsidRDefault="00A213AB" w:rsidP="009A683A">
            <w:pPr>
              <w:spacing w:before="60" w:after="60" w:line="240" w:lineRule="auto"/>
              <w:rPr>
                <w:rFonts w:ascii="Titillium" w:hAnsi="Titillium"/>
                <w:sz w:val="18"/>
                <w:szCs w:val="18"/>
                <w:lang w:eastAsia="it-IT"/>
              </w:rPr>
            </w:pPr>
          </w:p>
        </w:tc>
        <w:tc>
          <w:tcPr>
            <w:tcW w:w="11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E47EA" w14:textId="77777777" w:rsidR="00A213AB" w:rsidRDefault="00A213AB" w:rsidP="009A683A">
            <w:pPr>
              <w:spacing w:before="60" w:after="60" w:line="240" w:lineRule="auto"/>
              <w:rPr>
                <w:rFonts w:ascii="Titillium" w:hAnsi="Titillium"/>
                <w:sz w:val="18"/>
                <w:szCs w:val="18"/>
                <w:lang w:eastAsia="it-IT"/>
              </w:rPr>
            </w:pP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9D3F7" w14:textId="77777777" w:rsidR="00A213AB" w:rsidRDefault="00A213AB" w:rsidP="009A683A">
            <w:pPr>
              <w:spacing w:before="60" w:after="60" w:line="240" w:lineRule="auto"/>
              <w:rPr>
                <w:rFonts w:ascii="Titillium" w:hAnsi="Titillium"/>
                <w:sz w:val="18"/>
                <w:szCs w:val="18"/>
                <w:lang w:eastAsia="it-IT"/>
              </w:rPr>
            </w:pPr>
          </w:p>
        </w:tc>
      </w:tr>
    </w:tbl>
    <w:p w14:paraId="405ED14D" w14:textId="0920174F" w:rsidR="00A213AB" w:rsidRDefault="00A213AB" w:rsidP="00A213AB">
      <w:pPr>
        <w:spacing w:before="120" w:after="60"/>
        <w:rPr>
          <w:rFonts w:ascii="Titillium" w:hAnsi="Titillium"/>
          <w:sz w:val="18"/>
          <w:szCs w:val="18"/>
          <w:lang w:eastAsia="it-IT"/>
        </w:rPr>
      </w:pPr>
    </w:p>
    <w:tbl>
      <w:tblPr>
        <w:tblStyle w:val="Grigliatabella"/>
        <w:tblW w:w="0" w:type="auto"/>
        <w:tblLook w:val="04A0" w:firstRow="1" w:lastRow="0" w:firstColumn="1" w:lastColumn="0" w:noHBand="0" w:noVBand="1"/>
      </w:tblPr>
      <w:tblGrid>
        <w:gridCol w:w="9210"/>
      </w:tblGrid>
      <w:tr w:rsidR="005020A5" w:rsidRPr="00472B0F" w14:paraId="153BD602" w14:textId="77777777" w:rsidTr="002B16FD">
        <w:tc>
          <w:tcPr>
            <w:tcW w:w="9210" w:type="dxa"/>
          </w:tcPr>
          <w:p w14:paraId="1D751093" w14:textId="77777777" w:rsidR="00C40D89" w:rsidRDefault="005020A5" w:rsidP="00CE61E8">
            <w:pPr>
              <w:rPr>
                <w:rFonts w:ascii="Titillium" w:hAnsi="Titillium" w:cs="Arial"/>
                <w:i/>
                <w:color w:val="FF0000"/>
                <w:sz w:val="18"/>
                <w:szCs w:val="18"/>
              </w:rPr>
            </w:pPr>
            <w:r w:rsidRPr="006C26D5">
              <w:rPr>
                <w:rFonts w:ascii="Titillium" w:hAnsi="Titillium" w:cs="Arial"/>
                <w:i/>
                <w:color w:val="FF0000"/>
                <w:sz w:val="18"/>
                <w:szCs w:val="18"/>
              </w:rPr>
              <w:t xml:space="preserve">N.B: </w:t>
            </w:r>
            <w:r w:rsidRPr="005020A5">
              <w:rPr>
                <w:rFonts w:ascii="Titillium" w:hAnsi="Titillium" w:cs="Calibri"/>
                <w:i/>
                <w:color w:val="FF0000"/>
                <w:sz w:val="18"/>
                <w:szCs w:val="18"/>
              </w:rPr>
              <w:t>Pe</w:t>
            </w:r>
            <w:r w:rsidRPr="00CE61E8">
              <w:rPr>
                <w:rFonts w:ascii="Titillium" w:hAnsi="Titillium" w:cs="Arial"/>
                <w:bCs/>
                <w:i/>
                <w:color w:val="FF0000"/>
                <w:sz w:val="18"/>
                <w:szCs w:val="18"/>
              </w:rPr>
              <w:t xml:space="preserve">r le procedure di gara afferenti 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w:t>
            </w:r>
            <w:r w:rsidRPr="00CE61E8">
              <w:rPr>
                <w:rFonts w:ascii="Titillium" w:hAnsi="Titillium" w:cs="Courier New"/>
                <w:i/>
                <w:color w:val="FF0000"/>
                <w:sz w:val="18"/>
                <w:szCs w:val="18"/>
              </w:rPr>
              <w:t>decreto legge 31 maggio 2021, n. 77, convertito, con modificazioni, dalla legge 29 luglio 2021, n. 108</w:t>
            </w:r>
            <w:r w:rsidRPr="00CE61E8">
              <w:rPr>
                <w:rFonts w:ascii="Titillium" w:hAnsi="Titillium" w:cs="Arial"/>
                <w:i/>
                <w:color w:val="FF0000"/>
                <w:sz w:val="18"/>
                <w:szCs w:val="18"/>
              </w:rPr>
              <w:t>, le</w:t>
            </w:r>
            <w:r w:rsidRPr="005020A5">
              <w:rPr>
                <w:rFonts w:ascii="Titillium" w:hAnsi="Titillium" w:cs="Calibri"/>
                <w:i/>
                <w:color w:val="FF0000"/>
                <w:sz w:val="18"/>
                <w:szCs w:val="18"/>
              </w:rPr>
              <w:t xml:space="preserve"> stazioni appaltanti</w:t>
            </w:r>
            <w:r w:rsidRPr="005020A5">
              <w:rPr>
                <w:rFonts w:ascii="Titillium" w:hAnsi="Titillium" w:cs="Courier New"/>
                <w:i/>
                <w:color w:val="FF0000"/>
                <w:sz w:val="18"/>
                <w:szCs w:val="18"/>
              </w:rPr>
              <w:t xml:space="preserve">, </w:t>
            </w:r>
            <w:r w:rsidRPr="005020A5">
              <w:rPr>
                <w:rFonts w:ascii="Titillium" w:hAnsi="Titillium" w:cs="Calibri"/>
                <w:i/>
                <w:color w:val="FF0000"/>
                <w:sz w:val="18"/>
                <w:szCs w:val="18"/>
              </w:rPr>
              <w:t>possono inserire nei propri bandi di gara, negli avvisi e negli inviti, le clausole che introducono come ulteriori</w:t>
            </w:r>
            <w:r w:rsidRPr="002F1A15">
              <w:rPr>
                <w:rFonts w:ascii="Titillium" w:hAnsi="Titillium" w:cs="Calibri"/>
                <w:i/>
                <w:color w:val="FF0000"/>
                <w:sz w:val="18"/>
                <w:szCs w:val="18"/>
              </w:rPr>
              <w:t xml:space="preserve"> requisiti premiali dell’offerta (di cui </w:t>
            </w:r>
            <w:r w:rsidRPr="002F1A15">
              <w:rPr>
                <w:rFonts w:ascii="Titillium" w:hAnsi="Titillium" w:cs="Arial"/>
                <w:bCs/>
                <w:i/>
                <w:color w:val="FF0000"/>
                <w:sz w:val="18"/>
                <w:szCs w:val="18"/>
              </w:rPr>
              <w:t>all’</w:t>
            </w:r>
            <w:r>
              <w:rPr>
                <w:rFonts w:ascii="Titillium" w:hAnsi="Titillium" w:cs="Arial"/>
                <w:bCs/>
                <w:i/>
                <w:color w:val="FF0000"/>
                <w:sz w:val="18"/>
                <w:szCs w:val="18"/>
              </w:rPr>
              <w:t xml:space="preserve">articolo </w:t>
            </w:r>
            <w:r w:rsidRPr="002F1A15">
              <w:rPr>
                <w:rFonts w:ascii="Titillium" w:hAnsi="Titillium" w:cs="Arial"/>
                <w:bCs/>
                <w:i/>
                <w:color w:val="FF0000"/>
                <w:sz w:val="18"/>
                <w:szCs w:val="18"/>
              </w:rPr>
              <w:t>47, comm</w:t>
            </w:r>
            <w:r>
              <w:rPr>
                <w:rFonts w:ascii="Titillium" w:hAnsi="Titillium" w:cs="Arial"/>
                <w:bCs/>
                <w:i/>
                <w:color w:val="FF0000"/>
                <w:sz w:val="18"/>
                <w:szCs w:val="18"/>
              </w:rPr>
              <w:t>i 4 e 5, decreto legge 77/2021)</w:t>
            </w:r>
            <w:r w:rsidRPr="002F1A15">
              <w:rPr>
                <w:rFonts w:ascii="Titillium" w:hAnsi="Titillium" w:cs="Arial"/>
                <w:bCs/>
                <w:i/>
                <w:color w:val="FF0000"/>
                <w:sz w:val="18"/>
                <w:szCs w:val="18"/>
              </w:rPr>
              <w:t xml:space="preserve"> </w:t>
            </w:r>
            <w:r w:rsidRPr="002F1A15">
              <w:rPr>
                <w:rFonts w:ascii="Titillium" w:hAnsi="Titillium" w:cs="Calibri"/>
                <w:i/>
                <w:color w:val="FF0000"/>
                <w:sz w:val="18"/>
                <w:szCs w:val="18"/>
              </w:rPr>
              <w:t>criteri orientati a promuovere l'imprenditoria giovanile, l’inclusione lavorativa delle persone disabili, la</w:t>
            </w:r>
            <w:r w:rsidRPr="006C26D5">
              <w:rPr>
                <w:rFonts w:ascii="Titillium" w:hAnsi="Titillium" w:cs="Calibri"/>
                <w:i/>
                <w:color w:val="FF0000"/>
                <w:sz w:val="18"/>
                <w:szCs w:val="18"/>
              </w:rPr>
              <w:t xml:space="preserve"> parità di genere e l'assunzione</w:t>
            </w:r>
            <w:r w:rsidRPr="006C26D5">
              <w:rPr>
                <w:rFonts w:ascii="Titillium" w:hAnsi="Titillium" w:cs="Arial"/>
                <w:i/>
                <w:color w:val="FF0000"/>
                <w:sz w:val="18"/>
                <w:szCs w:val="18"/>
              </w:rPr>
              <w:t xml:space="preserve"> di giovani, con età inferiore a trentasei anni, e </w:t>
            </w:r>
            <w:r>
              <w:rPr>
                <w:rFonts w:ascii="Titillium" w:hAnsi="Titillium" w:cs="Arial"/>
                <w:i/>
                <w:color w:val="FF0000"/>
                <w:sz w:val="18"/>
                <w:szCs w:val="18"/>
              </w:rPr>
              <w:t>di donne. A tal fine, l</w:t>
            </w:r>
            <w:r w:rsidRPr="00797DE7">
              <w:rPr>
                <w:rFonts w:ascii="Titillium" w:hAnsi="Titillium" w:cs="Arial"/>
                <w:i/>
                <w:color w:val="FF0000"/>
                <w:sz w:val="18"/>
                <w:szCs w:val="18"/>
              </w:rPr>
              <w:t>e stazioni appaltanti possono prevedere l’attribuzione di punteggi aggiuntiv</w:t>
            </w:r>
            <w:r>
              <w:rPr>
                <w:rFonts w:ascii="Titillium" w:hAnsi="Titillium" w:cs="Arial"/>
                <w:i/>
                <w:color w:val="FF0000"/>
                <w:sz w:val="18"/>
                <w:szCs w:val="18"/>
              </w:rPr>
              <w:t>i</w:t>
            </w:r>
            <w:r w:rsidRPr="00797DE7">
              <w:rPr>
                <w:rFonts w:ascii="Titillium" w:hAnsi="Titillium" w:cs="Arial"/>
                <w:i/>
                <w:color w:val="FF0000"/>
                <w:sz w:val="18"/>
                <w:szCs w:val="18"/>
              </w:rPr>
              <w:t xml:space="preserve"> in favore del concorrente che si trovi in una o più delle situazioni di cui all’ar</w:t>
            </w:r>
            <w:r>
              <w:rPr>
                <w:rFonts w:ascii="Titillium" w:hAnsi="Titillium" w:cs="Arial"/>
                <w:i/>
                <w:color w:val="FF0000"/>
                <w:sz w:val="18"/>
                <w:szCs w:val="18"/>
              </w:rPr>
              <w:t xml:space="preserve">ticolo 47, comma 5, decreto legge </w:t>
            </w:r>
            <w:r w:rsidR="0006616F">
              <w:rPr>
                <w:rFonts w:ascii="Titillium" w:hAnsi="Titillium" w:cs="Arial"/>
                <w:i/>
                <w:color w:val="FF0000"/>
                <w:sz w:val="18"/>
                <w:szCs w:val="18"/>
              </w:rPr>
              <w:t xml:space="preserve">77/21. </w:t>
            </w:r>
          </w:p>
          <w:p w14:paraId="1627F056" w14:textId="556141D8" w:rsidR="005020A5" w:rsidRPr="00472B0F" w:rsidRDefault="0006616F" w:rsidP="00D74841">
            <w:pPr>
              <w:rPr>
                <w:rFonts w:ascii="Titillium" w:hAnsi="Titillium" w:cs="Calibri"/>
                <w:i/>
                <w:sz w:val="18"/>
                <w:szCs w:val="18"/>
              </w:rPr>
            </w:pPr>
            <w:r>
              <w:rPr>
                <w:rFonts w:ascii="Titillium" w:hAnsi="Titillium" w:cs="Arial"/>
                <w:i/>
                <w:color w:val="FF0000"/>
                <w:sz w:val="18"/>
                <w:szCs w:val="18"/>
              </w:rPr>
              <w:t>F</w:t>
            </w:r>
            <w:r w:rsidRPr="006C26D5">
              <w:rPr>
                <w:rFonts w:ascii="Titillium" w:hAnsi="Titillium" w:cs="Calibri"/>
                <w:i/>
                <w:color w:val="FF0000"/>
                <w:sz w:val="18"/>
                <w:szCs w:val="18"/>
              </w:rPr>
              <w:t xml:space="preserve">erma restando </w:t>
            </w:r>
            <w:r w:rsidRPr="006C26D5">
              <w:rPr>
                <w:rFonts w:ascii="Titillium" w:hAnsi="Titillium" w:cs="Courier New"/>
                <w:i/>
                <w:color w:val="FF0000"/>
                <w:sz w:val="18"/>
                <w:szCs w:val="18"/>
              </w:rPr>
              <w:t xml:space="preserve">la </w:t>
            </w:r>
            <w:r>
              <w:rPr>
                <w:rFonts w:ascii="Titillium" w:hAnsi="Titillium" w:cs="Courier New"/>
                <w:i/>
                <w:color w:val="FF0000"/>
                <w:sz w:val="18"/>
                <w:szCs w:val="18"/>
              </w:rPr>
              <w:t>loro discrezionalità i</w:t>
            </w:r>
            <w:r w:rsidRPr="006C26D5">
              <w:rPr>
                <w:rFonts w:ascii="Titillium" w:hAnsi="Titillium" w:cs="Courier New"/>
                <w:i/>
                <w:color w:val="FF0000"/>
                <w:sz w:val="18"/>
                <w:szCs w:val="18"/>
              </w:rPr>
              <w:t>n ordine alle concrete modalità di redazione delle clausole</w:t>
            </w:r>
            <w:r w:rsidRPr="006C26D5">
              <w:rPr>
                <w:rFonts w:ascii="Titillium" w:hAnsi="Titillium" w:cs="Arial"/>
                <w:bCs/>
                <w:i/>
                <w:color w:val="FF0000"/>
                <w:sz w:val="18"/>
                <w:szCs w:val="18"/>
              </w:rPr>
              <w:t xml:space="preserve">, </w:t>
            </w:r>
            <w:r>
              <w:rPr>
                <w:rFonts w:ascii="Titillium" w:hAnsi="Titillium" w:cs="Arial"/>
                <w:bCs/>
                <w:i/>
                <w:color w:val="FF0000"/>
                <w:sz w:val="18"/>
                <w:szCs w:val="18"/>
              </w:rPr>
              <w:t>possono inserire i criteri premianti e relative</w:t>
            </w:r>
            <w:r w:rsidRPr="004949BE">
              <w:rPr>
                <w:rFonts w:ascii="Titillium" w:hAnsi="Titillium" w:cs="Arial"/>
                <w:bCs/>
                <w:i/>
                <w:color w:val="FF0000"/>
                <w:sz w:val="18"/>
                <w:szCs w:val="18"/>
              </w:rPr>
              <w:t xml:space="preserve"> modalità di attribuzione del punteggio</w:t>
            </w:r>
            <w:r>
              <w:rPr>
                <w:rFonts w:ascii="Titillium" w:hAnsi="Titillium" w:cs="Arial"/>
                <w:bCs/>
                <w:i/>
                <w:color w:val="FF0000"/>
                <w:sz w:val="18"/>
                <w:szCs w:val="18"/>
              </w:rPr>
              <w:t>, in</w:t>
            </w:r>
            <w:r w:rsidR="00C40D89">
              <w:rPr>
                <w:rFonts w:ascii="Titillium" w:hAnsi="Titillium" w:cs="Courier New"/>
                <w:i/>
                <w:color w:val="FF0000"/>
                <w:sz w:val="18"/>
                <w:szCs w:val="18"/>
              </w:rPr>
              <w:t>dicati</w:t>
            </w:r>
            <w:r w:rsidRPr="004949BE">
              <w:rPr>
                <w:rFonts w:ascii="Titillium" w:hAnsi="Titillium" w:cs="Courier New"/>
                <w:i/>
                <w:color w:val="FF0000"/>
                <w:sz w:val="18"/>
                <w:szCs w:val="18"/>
              </w:rPr>
              <w:t xml:space="preserve"> nelle </w:t>
            </w:r>
            <w:r w:rsidR="005020A5" w:rsidRPr="006C26D5">
              <w:rPr>
                <w:rFonts w:ascii="Titillium" w:hAnsi="Titillium" w:cs="Calibri"/>
                <w:i/>
                <w:color w:val="FF0000"/>
                <w:sz w:val="18"/>
                <w:szCs w:val="18"/>
              </w:rPr>
              <w:t>linee guida approvate con Decreto ministeriale della Presidenza del Consiglio dei Ministri, Dipartimento delle pari op</w:t>
            </w:r>
            <w:r w:rsidR="00D74841">
              <w:rPr>
                <w:rFonts w:ascii="Titillium" w:hAnsi="Titillium" w:cs="Calibri"/>
                <w:i/>
                <w:color w:val="FF0000"/>
                <w:sz w:val="18"/>
                <w:szCs w:val="18"/>
              </w:rPr>
              <w:t>portunità, del 7 dicembre 2021</w:t>
            </w:r>
            <w:r w:rsidR="005020A5">
              <w:rPr>
                <w:rFonts w:ascii="Titillium" w:hAnsi="Titillium" w:cs="Arial"/>
                <w:bCs/>
                <w:i/>
                <w:color w:val="FF0000"/>
                <w:sz w:val="18"/>
                <w:szCs w:val="18"/>
              </w:rPr>
              <w:t xml:space="preserve">. </w:t>
            </w:r>
          </w:p>
        </w:tc>
      </w:tr>
    </w:tbl>
    <w:p w14:paraId="1090425B" w14:textId="509AED69" w:rsidR="00A213AB" w:rsidRDefault="00A213AB" w:rsidP="00A213AB">
      <w:pPr>
        <w:spacing w:before="120" w:after="60"/>
        <w:rPr>
          <w:rFonts w:ascii="Titillium" w:hAnsi="Titillium" w:cs="Calibri"/>
          <w:sz w:val="18"/>
          <w:szCs w:val="18"/>
          <w:lang w:eastAsia="it-IT"/>
        </w:rPr>
      </w:pPr>
      <w:r>
        <w:rPr>
          <w:rFonts w:ascii="Titillium" w:hAnsi="Titillium"/>
          <w:b/>
          <w:i/>
          <w:sz w:val="18"/>
          <w:szCs w:val="18"/>
        </w:rPr>
        <w:t xml:space="preserve">[Facoltativo: soglia di sbarramento al punteggio tecnico] </w:t>
      </w:r>
      <w:r>
        <w:rPr>
          <w:rFonts w:ascii="Titillium" w:hAnsi="Titillium" w:cs="Calibri"/>
          <w:sz w:val="18"/>
          <w:szCs w:val="18"/>
          <w:lang w:eastAsia="it-IT"/>
        </w:rPr>
        <w:t xml:space="preserve">Il </w:t>
      </w:r>
      <w:r w:rsidRPr="009519DD">
        <w:rPr>
          <w:rFonts w:ascii="Titillium" w:hAnsi="Titillium" w:cs="Calibri"/>
          <w:sz w:val="18"/>
          <w:szCs w:val="18"/>
          <w:lang w:eastAsia="it-IT"/>
        </w:rPr>
        <w:t>concorrente è escluso dalla</w:t>
      </w:r>
      <w:r>
        <w:rPr>
          <w:rFonts w:ascii="Titillium" w:hAnsi="Titillium" w:cs="Calibri"/>
          <w:sz w:val="18"/>
          <w:szCs w:val="18"/>
          <w:lang w:eastAsia="it-IT"/>
        </w:rPr>
        <w:t xml:space="preserve"> gara nel caso in cui consegua un punteggio inferiore alla </w:t>
      </w:r>
      <w:r>
        <w:rPr>
          <w:rFonts w:ascii="Titillium" w:hAnsi="Titillium"/>
          <w:sz w:val="18"/>
          <w:szCs w:val="18"/>
        </w:rPr>
        <w:t>soglia minima di sbarramento pari a ...</w:t>
      </w:r>
      <w:r>
        <w:rPr>
          <w:rFonts w:ascii="Titillium" w:hAnsi="Titillium"/>
          <w:i/>
          <w:sz w:val="18"/>
          <w:szCs w:val="18"/>
        </w:rPr>
        <w:t xml:space="preserve"> [indicare la/le soglie di punteggio]</w:t>
      </w:r>
      <w:r>
        <w:rPr>
          <w:rFonts w:ascii="Titillium" w:hAnsi="Titillium"/>
          <w:sz w:val="18"/>
          <w:szCs w:val="18"/>
        </w:rPr>
        <w:t xml:space="preserve"> per … </w:t>
      </w:r>
      <w:r>
        <w:rPr>
          <w:rFonts w:ascii="Titillium" w:hAnsi="Titillium"/>
          <w:i/>
          <w:sz w:val="18"/>
          <w:szCs w:val="18"/>
        </w:rPr>
        <w:t>[indicare “il punteggio tecnico complessivo” oppure indicare “i seguenti criteri: …”, specificando i criteri su cui applicare lo sbarramento].</w:t>
      </w:r>
      <w:r>
        <w:rPr>
          <w:rFonts w:ascii="Titillium" w:hAnsi="Titillium" w:cs="Calibri"/>
          <w:sz w:val="18"/>
          <w:szCs w:val="18"/>
          <w:lang w:eastAsia="it-IT"/>
        </w:rPr>
        <w:t xml:space="preserve"> </w:t>
      </w:r>
      <w:r w:rsidRPr="0056756A">
        <w:rPr>
          <w:rFonts w:ascii="Titillium" w:hAnsi="Titillium" w:cs="Calibri"/>
          <w:i/>
          <w:sz w:val="18"/>
          <w:szCs w:val="18"/>
          <w:lang w:eastAsia="it-IT"/>
        </w:rPr>
        <w:t>[Nel caso in cui sia prevista una riparametrazione dei punteggi tecnici]</w:t>
      </w:r>
      <w:r>
        <w:rPr>
          <w:rFonts w:ascii="Titillium" w:hAnsi="Titillium" w:cs="Calibri"/>
          <w:i/>
          <w:sz w:val="18"/>
          <w:szCs w:val="18"/>
          <w:lang w:eastAsia="it-IT"/>
        </w:rPr>
        <w:t xml:space="preserve"> </w:t>
      </w:r>
      <w:r>
        <w:rPr>
          <w:rFonts w:ascii="Titillium" w:hAnsi="Titillium" w:cs="Calibri"/>
          <w:sz w:val="18"/>
          <w:szCs w:val="18"/>
          <w:lang w:eastAsia="it-IT"/>
        </w:rPr>
        <w:t>Il superamento della soglia di sbarramento è calcolato prima della riparametrazione di cui al punto 17.4.</w:t>
      </w:r>
    </w:p>
    <w:tbl>
      <w:tblPr>
        <w:tblStyle w:val="Grigliatabella"/>
        <w:tblW w:w="0" w:type="auto"/>
        <w:tblLook w:val="04A0" w:firstRow="1" w:lastRow="0" w:firstColumn="1" w:lastColumn="0" w:noHBand="0" w:noVBand="1"/>
      </w:tblPr>
      <w:tblGrid>
        <w:gridCol w:w="9210"/>
      </w:tblGrid>
      <w:tr w:rsidR="000154AA" w:rsidRPr="00ED1BBB" w14:paraId="5615C158" w14:textId="77777777" w:rsidTr="00B65977">
        <w:tc>
          <w:tcPr>
            <w:tcW w:w="9210" w:type="dxa"/>
            <w:shd w:val="clear" w:color="auto" w:fill="auto"/>
          </w:tcPr>
          <w:p w14:paraId="54F85677" w14:textId="77777777" w:rsidR="00BA3F7B" w:rsidRPr="007F4B56" w:rsidRDefault="000154AA" w:rsidP="00BA3F7B">
            <w:pPr>
              <w:spacing w:before="120" w:after="60"/>
              <w:rPr>
                <w:rFonts w:ascii="Titillium" w:hAnsi="Titillium" w:cs="Calibri"/>
                <w:i/>
                <w:strike/>
                <w:sz w:val="18"/>
                <w:szCs w:val="18"/>
              </w:rPr>
            </w:pPr>
            <w:r w:rsidRPr="007F4B56">
              <w:rPr>
                <w:rFonts w:ascii="Titillium" w:hAnsi="Titillium" w:cs="Calibri"/>
                <w:i/>
                <w:strike/>
                <w:sz w:val="18"/>
                <w:szCs w:val="18"/>
              </w:rPr>
              <w:t>N.B. In relazione alle procedure afferenti gli investimenti pubblici finanziati, in tutto o in parte, con le risorse previste dal Regolamento (UE) 2021/240 del Parlamento europeo e del Consiglio del 10 febbraio 2021 e dal Regolamento (UE) 2021/241 del Parlamento europeo e del Consiglio del 12 febbraio 2021, dal Piano nazionale per gli investimenti complementari al PNRR, di cui all'articolo 1 del decreto-legge 6 maggio 2021, n.  59, dai  programmi cofinanziati dai fondi strutturali dell’Unione Europea</w:t>
            </w:r>
            <w:r w:rsidR="00BA3F7B" w:rsidRPr="007F4B56">
              <w:rPr>
                <w:rFonts w:ascii="Titillium" w:hAnsi="Titillium" w:cs="Calibri"/>
                <w:i/>
                <w:strike/>
                <w:sz w:val="18"/>
                <w:szCs w:val="18"/>
              </w:rPr>
              <w:t>,</w:t>
            </w:r>
            <w:r w:rsidRPr="007F4B56">
              <w:rPr>
                <w:rFonts w:ascii="Titillium" w:hAnsi="Titillium" w:cs="Calibri"/>
                <w:i/>
                <w:strike/>
                <w:sz w:val="18"/>
                <w:szCs w:val="18"/>
              </w:rPr>
              <w:t xml:space="preserve"> </w:t>
            </w:r>
            <w:r w:rsidR="00BA3F7B" w:rsidRPr="007F4B56">
              <w:rPr>
                <w:rFonts w:ascii="Titillium" w:hAnsi="Titillium" w:cs="Calibri"/>
                <w:i/>
                <w:strike/>
                <w:sz w:val="18"/>
                <w:szCs w:val="18"/>
              </w:rPr>
              <w:t xml:space="preserve">ai sensi dell’articolo 47, comma 4, decreto legge n. 77/21, convertito in legge n.108/21, </w:t>
            </w:r>
            <w:r w:rsidRPr="007F4B56">
              <w:rPr>
                <w:rFonts w:ascii="Titillium" w:hAnsi="Titillium" w:cs="Calibri"/>
                <w:i/>
                <w:strike/>
                <w:sz w:val="18"/>
                <w:szCs w:val="18"/>
              </w:rPr>
              <w:t>le stazioni appaltanti prevedono nei bandi di gara come requisiti necessari e ulteriori requisiti premiali dell’offerta</w:t>
            </w:r>
            <w:r w:rsidR="00BA3F7B" w:rsidRPr="007F4B56">
              <w:rPr>
                <w:rFonts w:ascii="Titillium" w:hAnsi="Titillium" w:cs="Calibri"/>
                <w:i/>
                <w:strike/>
                <w:sz w:val="18"/>
                <w:szCs w:val="18"/>
              </w:rPr>
              <w:t xml:space="preserve"> criteri orientati a  promuovere  l'imprenditoria giovanile, l’inclusione lavorativa  delle  persone  disabili, la parità di genere e l'assunzione di giovani,  con  età  inferiore  a trentasei anni, e donne, secondo le modalità e i criteri applicativi definiti dalle </w:t>
            </w:r>
            <w:r w:rsidRPr="007F4B56">
              <w:rPr>
                <w:rFonts w:ascii="Titillium" w:hAnsi="Titillium" w:cs="Calibri"/>
                <w:i/>
                <w:strike/>
                <w:sz w:val="18"/>
                <w:szCs w:val="18"/>
              </w:rPr>
              <w:t>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ai sensi del citato articolo 47, comma 8.</w:t>
            </w:r>
          </w:p>
          <w:p w14:paraId="658262D0" w14:textId="0DAED773" w:rsidR="000154AA" w:rsidRPr="00ED1BBB" w:rsidRDefault="00BA3F7B" w:rsidP="00BA3F7B">
            <w:pPr>
              <w:spacing w:before="120" w:after="60"/>
              <w:rPr>
                <w:rFonts w:ascii="Titillium" w:hAnsi="Titillium" w:cs="Calibri"/>
                <w:i/>
                <w:sz w:val="18"/>
                <w:szCs w:val="18"/>
              </w:rPr>
            </w:pPr>
            <w:r w:rsidRPr="007F4B56">
              <w:rPr>
                <w:rFonts w:ascii="Titillium" w:hAnsi="Titillium" w:cs="Calibri"/>
                <w:i/>
                <w:strike/>
                <w:sz w:val="18"/>
                <w:szCs w:val="18"/>
              </w:rPr>
              <w:t>Le stazioni appaltanti possono altresì prevedere l’assegnazione di un punteggio aggiuntivo in favore del concorrente che si trovi in una o più delle situazioni di cui all’articolo 47, comma 5, del decreto legge n. 77/21 e/o criteri premiali atti ad agevolare le piccole e medie imprese ai sensi dell’articolo 47-quater del decreto legge n. 77/21.</w:t>
            </w:r>
          </w:p>
        </w:tc>
      </w:tr>
    </w:tbl>
    <w:p w14:paraId="540C1579" w14:textId="2C64BDCE" w:rsidR="004C53A8" w:rsidRDefault="00ED1BBB">
      <w:pPr>
        <w:pStyle w:val="Titolo3"/>
        <w:numPr>
          <w:ilvl w:val="1"/>
          <w:numId w:val="4"/>
        </w:numPr>
        <w:ind w:left="426" w:hanging="426"/>
      </w:pPr>
      <w:bookmarkStart w:id="1933" w:name="_Toc95495911"/>
      <w:r>
        <w:rPr>
          <w:rFonts w:ascii="Titillium" w:hAnsi="Titillium"/>
          <w:iCs/>
          <w:caps w:val="0"/>
          <w:sz w:val="18"/>
          <w:szCs w:val="18"/>
          <w:lang w:val="it-IT"/>
        </w:rPr>
        <w:t>M</w:t>
      </w:r>
      <w:r w:rsidR="004C667D">
        <w:rPr>
          <w:rFonts w:ascii="Titillium" w:hAnsi="Titillium"/>
          <w:iCs/>
          <w:caps w:val="0"/>
          <w:sz w:val="18"/>
          <w:szCs w:val="18"/>
        </w:rPr>
        <w:t>ETODO DI ATTRIBUZIONE DEL COEFFICIENTE PER IL CALCOLO DEL PUNTEGGIO DELL’OFFERTA TECNICA</w:t>
      </w:r>
      <w:bookmarkEnd w:id="1933"/>
    </w:p>
    <w:p w14:paraId="6EA0ABDB" w14:textId="7A852D78" w:rsidR="004C53A8" w:rsidRDefault="00870286">
      <w:pPr>
        <w:spacing w:before="60" w:after="60"/>
        <w:rPr>
          <w:rFonts w:ascii="Titillium" w:hAnsi="Titillium"/>
          <w:i/>
          <w:sz w:val="18"/>
          <w:szCs w:val="18"/>
        </w:rPr>
      </w:pPr>
      <w:r>
        <w:rPr>
          <w:rFonts w:ascii="Titillium" w:hAnsi="Titillium"/>
          <w:b/>
          <w:i/>
          <w:sz w:val="18"/>
          <w:szCs w:val="18"/>
        </w:rPr>
        <w:t>[In caso di criteri qualitativi]</w:t>
      </w:r>
      <w:r>
        <w:rPr>
          <w:rFonts w:ascii="Titillium" w:hAnsi="Titillium"/>
          <w:sz w:val="18"/>
          <w:szCs w:val="18"/>
        </w:rPr>
        <w:t xml:space="preserve"> A ciascuno degli elementi qualitativi cui è assegnato un punteggio discrezionale nella colonna “D” della tabella, è attribuito un coefficiente sulla base del metodo … </w:t>
      </w:r>
      <w:r w:rsidRPr="00A87259">
        <w:rPr>
          <w:rFonts w:ascii="Titillium" w:hAnsi="Titillium"/>
          <w:i/>
          <w:sz w:val="18"/>
          <w:szCs w:val="18"/>
        </w:rPr>
        <w:t>[</w:t>
      </w:r>
      <w:r>
        <w:rPr>
          <w:rFonts w:ascii="Titillium" w:hAnsi="Titillium"/>
          <w:i/>
          <w:sz w:val="18"/>
          <w:szCs w:val="18"/>
        </w:rPr>
        <w:t>indicare il metodo prescelto – cfr. Linee guida dell’ANAC n. 2/2016, paragrafo V - ad esempio: attribuzione discrezionale di un coefficiente variabile da zero ad uno da parte di ciascun commissario oppure confronto a coppie, etc.].</w:t>
      </w:r>
    </w:p>
    <w:p w14:paraId="622E5F5C" w14:textId="55394EEC" w:rsidR="00610EE5" w:rsidRDefault="00610EE5">
      <w:pPr>
        <w:spacing w:before="60" w:after="60"/>
        <w:rPr>
          <w:rFonts w:ascii="Titillium" w:hAnsi="Titillium"/>
          <w:i/>
          <w:color w:val="FF0000"/>
          <w:sz w:val="18"/>
          <w:szCs w:val="18"/>
        </w:rPr>
      </w:pPr>
    </w:p>
    <w:tbl>
      <w:tblPr>
        <w:tblW w:w="9317" w:type="dxa"/>
        <w:tblInd w:w="-108" w:type="dxa"/>
        <w:tblLook w:val="04A0" w:firstRow="1" w:lastRow="0" w:firstColumn="1" w:lastColumn="0" w:noHBand="0" w:noVBand="1"/>
      </w:tblPr>
      <w:tblGrid>
        <w:gridCol w:w="9317"/>
      </w:tblGrid>
      <w:tr w:rsidR="004C53A8" w14:paraId="532F6925" w14:textId="77777777" w:rsidTr="00ED1BBB">
        <w:tc>
          <w:tcPr>
            <w:tcW w:w="9317" w:type="dxa"/>
            <w:tcBorders>
              <w:top w:val="single" w:sz="4" w:space="0" w:color="000000"/>
              <w:left w:val="single" w:sz="4" w:space="0" w:color="000000"/>
              <w:bottom w:val="single" w:sz="4" w:space="0" w:color="000000"/>
              <w:right w:val="single" w:sz="4" w:space="0" w:color="000000"/>
            </w:tcBorders>
          </w:tcPr>
          <w:p w14:paraId="24EDD5CA" w14:textId="3E72F32E" w:rsidR="004C53A8" w:rsidRDefault="00870286" w:rsidP="009B76BD">
            <w:pPr>
              <w:spacing w:before="60" w:after="60"/>
              <w:rPr>
                <w:rFonts w:ascii="Titillium" w:hAnsi="Titillium"/>
                <w:i/>
                <w:sz w:val="18"/>
                <w:szCs w:val="18"/>
              </w:rPr>
            </w:pPr>
            <w:r>
              <w:rPr>
                <w:rFonts w:ascii="Titillium" w:hAnsi="Titillium"/>
                <w:i/>
                <w:sz w:val="18"/>
                <w:szCs w:val="18"/>
              </w:rPr>
              <w:t>N.B. Ove la stazione appaltante ricorra al metodo di attribuzione discrezionale del coefficiente variabile da zero ad uno, deve specificare nel bando il valore del coefficiente relativo ai diversi livelli di valutazione ( per esempio: Ottimo = 1; buono = 0,8; adeguato = 0,6 etc.) precisando, inoltre, il metodo di calcolo del coefficiente unico da attribuire all’offerta in relazione al sub-criterio esaminato (per esempio: “la commissione calcola la media aritmetica dei coefficienti attribuiti dai singoli commissari all’offerta in relazione al sub-criterio in esame, al fine di ottenere il coefficiente medio da applicare al medesimo”).</w:t>
            </w:r>
          </w:p>
        </w:tc>
      </w:tr>
    </w:tbl>
    <w:p w14:paraId="5CE18436" w14:textId="77777777" w:rsidR="004C53A8" w:rsidRDefault="004C53A8">
      <w:pPr>
        <w:spacing w:before="60" w:after="60"/>
        <w:rPr>
          <w:rFonts w:ascii="Titillium" w:hAnsi="Titillium"/>
          <w:i/>
          <w:sz w:val="18"/>
          <w:szCs w:val="18"/>
        </w:rPr>
      </w:pPr>
    </w:p>
    <w:p w14:paraId="5299E84D" w14:textId="226962CD" w:rsidR="004C53A8" w:rsidRDefault="00870286">
      <w:pPr>
        <w:spacing w:before="60" w:after="60"/>
      </w:pPr>
      <w:r>
        <w:rPr>
          <w:rFonts w:ascii="Titillium" w:hAnsi="Titillium"/>
          <w:b/>
          <w:i/>
          <w:sz w:val="18"/>
          <w:szCs w:val="18"/>
        </w:rPr>
        <w:t>[In caso di criteri quantitativi]</w:t>
      </w:r>
      <w:r>
        <w:rPr>
          <w:rFonts w:ascii="Titillium" w:hAnsi="Titillium"/>
          <w:sz w:val="18"/>
          <w:szCs w:val="18"/>
        </w:rPr>
        <w:t xml:space="preserve"> A ciascuno degli elementi quantitativi cui è assegnato un punteggio nella colonna “Q” della tabella, è attribuito un coefficiente, variabile tra zero e uno, sulla base del metodo …. </w:t>
      </w:r>
      <w:r w:rsidRPr="00A87259">
        <w:rPr>
          <w:rFonts w:ascii="Titillium" w:hAnsi="Titillium"/>
          <w:i/>
          <w:sz w:val="18"/>
          <w:szCs w:val="18"/>
        </w:rPr>
        <w:t>[</w:t>
      </w:r>
      <w:r>
        <w:rPr>
          <w:rFonts w:ascii="Titillium" w:hAnsi="Titillium"/>
          <w:i/>
          <w:sz w:val="18"/>
          <w:szCs w:val="18"/>
        </w:rPr>
        <w:t>indicare il metodo prescelto – cfr. Linee guida dell’ANAC n. 2/2016, paragrafo IV - ad esempio: interpolazione lineare, metodo bilineare, formule non lineari, formule indipendenti, etc.].</w:t>
      </w:r>
    </w:p>
    <w:p w14:paraId="7571C642" w14:textId="77777777" w:rsidR="004C53A8" w:rsidRDefault="00870286">
      <w:pPr>
        <w:spacing w:before="60" w:after="60"/>
      </w:pPr>
      <w:r>
        <w:rPr>
          <w:rFonts w:ascii="Titillium" w:hAnsi="Titillium"/>
          <w:b/>
          <w:i/>
          <w:sz w:val="18"/>
          <w:szCs w:val="18"/>
        </w:rPr>
        <w:t xml:space="preserve">[In caso di criteri tabellari] </w:t>
      </w:r>
      <w:r>
        <w:rPr>
          <w:rFonts w:ascii="Titillium" w:hAnsi="Titillium"/>
          <w:sz w:val="18"/>
          <w:szCs w:val="18"/>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28CFCE96" w14:textId="4E43CB65" w:rsidR="004C53A8" w:rsidRDefault="004C667D">
      <w:pPr>
        <w:pStyle w:val="Titolo3"/>
        <w:numPr>
          <w:ilvl w:val="1"/>
          <w:numId w:val="4"/>
        </w:numPr>
        <w:ind w:left="426" w:hanging="426"/>
      </w:pPr>
      <w:bookmarkStart w:id="1934" w:name="_Ref498421792"/>
      <w:bookmarkStart w:id="1935" w:name="_Toc95495912"/>
      <w:r>
        <w:rPr>
          <w:rFonts w:ascii="Titillium" w:hAnsi="Titillium"/>
          <w:iCs/>
          <w:caps w:val="0"/>
          <w:sz w:val="18"/>
          <w:szCs w:val="18"/>
        </w:rPr>
        <w:t>METODO DI ATTRIBUZIONE DEL COEFFICIENTE PER IL CALCOLO DEL PUNTEGGIO DELL’OFFERTA ECONOMICA</w:t>
      </w:r>
      <w:bookmarkEnd w:id="1934"/>
      <w:bookmarkEnd w:id="1935"/>
      <w:r>
        <w:rPr>
          <w:rFonts w:ascii="Titillium" w:hAnsi="Titillium"/>
          <w:iCs/>
          <w:caps w:val="0"/>
          <w:sz w:val="18"/>
          <w:szCs w:val="18"/>
        </w:rPr>
        <w:t xml:space="preserve"> </w:t>
      </w:r>
    </w:p>
    <w:p w14:paraId="473506AA" w14:textId="77777777" w:rsidR="004C53A8" w:rsidRDefault="00870286">
      <w:pPr>
        <w:spacing w:before="60" w:after="60"/>
      </w:pPr>
      <w:r>
        <w:rPr>
          <w:rFonts w:ascii="Titillium" w:hAnsi="Titillium"/>
          <w:sz w:val="18"/>
          <w:szCs w:val="18"/>
        </w:rPr>
        <w:t xml:space="preserve">Quanto all’offerta economica, è attribuito all’elemento economico un coefficiente, variabile da zero ad uno, calcolato tramite la </w:t>
      </w:r>
      <w:r>
        <w:rPr>
          <w:rFonts w:ascii="Titillium" w:hAnsi="Titillium"/>
          <w:i/>
          <w:sz w:val="18"/>
          <w:szCs w:val="18"/>
        </w:rPr>
        <w:t>[selezionare una delle formule di seguito indicate]:</w:t>
      </w:r>
    </w:p>
    <w:p w14:paraId="584D8E1C" w14:textId="77777777" w:rsidR="004C53A8" w:rsidRDefault="00870286">
      <w:pPr>
        <w:spacing w:before="60" w:after="60"/>
      </w:pPr>
      <w:r>
        <w:rPr>
          <w:rFonts w:ascii="Titillium" w:hAnsi="Titillium"/>
          <w:b/>
          <w:sz w:val="18"/>
          <w:szCs w:val="18"/>
        </w:rPr>
        <w:t>Formula con interpolazione lineare</w:t>
      </w:r>
    </w:p>
    <w:p w14:paraId="3251A6A8" w14:textId="23F57C2E" w:rsidR="004C53A8" w:rsidRDefault="00D372C4">
      <w:pPr>
        <w:spacing w:before="60" w:after="60"/>
      </w:pPr>
      <m:oMathPara>
        <m:oMath>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a</m:t>
                  </m:r>
                </m:sub>
              </m:sSub>
            </m:num>
            <m:den>
              <m:sSub>
                <m:sSubPr>
                  <m:ctrlPr>
                    <w:rPr>
                      <w:rFonts w:ascii="Cambria Math" w:hAnsi="Cambria Math"/>
                    </w:rPr>
                  </m:ctrlPr>
                </m:sSubPr>
                <m:e>
                  <m:r>
                    <w:rPr>
                      <w:rFonts w:ascii="Cambria Math" w:hAnsi="Cambria Math"/>
                    </w:rPr>
                    <m:t>A</m:t>
                  </m:r>
                </m:e>
                <m:sub>
                  <m:r>
                    <w:rPr>
                      <w:rFonts w:ascii="Cambria Math" w:hAnsi="Cambria Math"/>
                    </w:rPr>
                    <m:t>max</m:t>
                  </m:r>
                </m:sub>
              </m:sSub>
            </m:den>
          </m:f>
        </m:oMath>
      </m:oMathPara>
    </w:p>
    <w:p w14:paraId="017356BF" w14:textId="77777777" w:rsidR="004C53A8" w:rsidRDefault="00870286">
      <w:pPr>
        <w:spacing w:before="60" w:after="60"/>
        <w:rPr>
          <w:rFonts w:ascii="Titillium" w:hAnsi="Titillium"/>
          <w:sz w:val="18"/>
          <w:szCs w:val="18"/>
        </w:rPr>
      </w:pPr>
      <w:r>
        <w:rPr>
          <w:rFonts w:ascii="Titillium" w:hAnsi="Titillium"/>
          <w:sz w:val="18"/>
          <w:szCs w:val="18"/>
        </w:rPr>
        <w:t>dove</w:t>
      </w:r>
    </w:p>
    <w:p w14:paraId="40D39D73" w14:textId="77777777" w:rsidR="004C53A8" w:rsidRDefault="00D372C4">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Pr>
          <w:rFonts w:ascii="Titillium" w:hAnsi="Titillium"/>
          <w:sz w:val="18"/>
          <w:szCs w:val="18"/>
        </w:rPr>
        <w:t xml:space="preserve"> = coefficiente attribuito al concorrente i-esimo</w:t>
      </w:r>
    </w:p>
    <w:p w14:paraId="114C2A3C" w14:textId="34538754" w:rsidR="004C53A8" w:rsidRDefault="00D372C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a</m:t>
            </m:r>
          </m:sub>
        </m:sSub>
      </m:oMath>
      <w:r w:rsidR="00870286">
        <w:rPr>
          <w:rFonts w:ascii="Titillium" w:hAnsi="Titillium"/>
          <w:sz w:val="18"/>
          <w:szCs w:val="18"/>
        </w:rPr>
        <w:t xml:space="preserve"> = ribasso percentuale del concorrente i-esimo</w:t>
      </w:r>
    </w:p>
    <w:p w14:paraId="31FCFC7D" w14:textId="6A37B5AF" w:rsidR="004C53A8" w:rsidRDefault="00D372C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ribasso percentuale più conveniente</w:t>
      </w:r>
    </w:p>
    <w:p w14:paraId="516F2632" w14:textId="77777777" w:rsidR="004C53A8" w:rsidRDefault="004C53A8">
      <w:pPr>
        <w:spacing w:before="60" w:after="60"/>
        <w:rPr>
          <w:rFonts w:ascii="Titillium" w:hAnsi="Titillium"/>
          <w:i/>
          <w:sz w:val="18"/>
          <w:szCs w:val="18"/>
        </w:rPr>
      </w:pPr>
    </w:p>
    <w:p w14:paraId="30191D63" w14:textId="77777777" w:rsidR="004C53A8" w:rsidRDefault="00870286">
      <w:pPr>
        <w:spacing w:before="60" w:after="60"/>
        <w:rPr>
          <w:rFonts w:ascii="Titillium" w:hAnsi="Titillium"/>
          <w:b/>
          <w:i/>
          <w:sz w:val="18"/>
          <w:szCs w:val="18"/>
        </w:rPr>
      </w:pPr>
      <w:r>
        <w:rPr>
          <w:rFonts w:ascii="Titillium" w:hAnsi="Titillium"/>
          <w:b/>
          <w:i/>
          <w:sz w:val="18"/>
          <w:szCs w:val="18"/>
        </w:rPr>
        <w:t xml:space="preserve"> [o in alternativa] </w:t>
      </w:r>
    </w:p>
    <w:p w14:paraId="4E8934E8" w14:textId="77777777" w:rsidR="004C53A8" w:rsidRDefault="00870286">
      <w:pPr>
        <w:spacing w:before="60" w:after="60"/>
        <w:rPr>
          <w:rFonts w:ascii="Titillium" w:hAnsi="Titillium"/>
          <w:b/>
          <w:sz w:val="18"/>
          <w:szCs w:val="18"/>
        </w:rPr>
      </w:pPr>
      <w:r>
        <w:rPr>
          <w:rFonts w:ascii="Titillium" w:hAnsi="Titillium"/>
          <w:b/>
          <w:sz w:val="18"/>
          <w:szCs w:val="18"/>
        </w:rPr>
        <w:t xml:space="preserve">Formula “bilineare” </w:t>
      </w:r>
    </w:p>
    <w:p w14:paraId="00BF8F3D" w14:textId="77777777" w:rsidR="004C53A8" w:rsidRDefault="00D372C4">
      <w:pPr>
        <w:spacing w:before="60" w:after="60"/>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soglia</m:t>
                              </m:r>
                            </m:sub>
                          </m:sSub>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1-X</m:t>
                      </m:r>
                    </m:e>
                  </m:d>
                  <m:r>
                    <w:rPr>
                      <w:rFonts w:ascii="Cambria Math" w:hAnsi="Cambria Math"/>
                    </w:rPr>
                    <m:t>∙</m:t>
                  </m:r>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num>
                        <m:den>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soglia</m:t>
                      </m:r>
                    </m:sub>
                  </m:sSub>
                </m:e>
              </m:eqArr>
            </m:e>
          </m:d>
        </m:oMath>
      </m:oMathPara>
    </w:p>
    <w:p w14:paraId="4FE6BA4D" w14:textId="77777777" w:rsidR="004C53A8" w:rsidRDefault="00870286">
      <w:pPr>
        <w:spacing w:before="60" w:after="60"/>
        <w:rPr>
          <w:rFonts w:ascii="Titillium" w:hAnsi="Titillium"/>
          <w:sz w:val="18"/>
          <w:szCs w:val="18"/>
        </w:rPr>
      </w:pPr>
      <w:r>
        <w:rPr>
          <w:rFonts w:ascii="Titillium" w:hAnsi="Titillium"/>
          <w:sz w:val="18"/>
          <w:szCs w:val="18"/>
        </w:rPr>
        <w:t>dove</w:t>
      </w:r>
    </w:p>
    <w:p w14:paraId="6185FD14" w14:textId="77777777" w:rsidR="004C53A8" w:rsidRDefault="00D372C4">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Pr>
          <w:rFonts w:ascii="Titillium" w:hAnsi="Titillium"/>
          <w:sz w:val="18"/>
          <w:szCs w:val="18"/>
        </w:rPr>
        <w:t xml:space="preserve"> = coefficiente attribuito al concorrente i-esimo</w:t>
      </w:r>
    </w:p>
    <w:p w14:paraId="6C4ADD27" w14:textId="77777777" w:rsidR="004C53A8" w:rsidRDefault="00D372C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870286">
        <w:rPr>
          <w:rFonts w:ascii="Titillium" w:hAnsi="Titillium"/>
          <w:sz w:val="18"/>
          <w:szCs w:val="18"/>
        </w:rPr>
        <w:t xml:space="preserve"> = ribasso percentuale del concorrente i-esimo</w:t>
      </w:r>
    </w:p>
    <w:p w14:paraId="0F1308CC" w14:textId="77777777" w:rsidR="004C53A8" w:rsidRDefault="00D372C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soglia</m:t>
            </m:r>
          </m:sub>
        </m:sSub>
      </m:oMath>
      <w:r w:rsidR="00870286">
        <w:rPr>
          <w:rFonts w:ascii="Titillium" w:hAnsi="Titillium"/>
          <w:sz w:val="18"/>
          <w:szCs w:val="18"/>
        </w:rPr>
        <w:t>= media percentuale dei valori del ribasso percentuale offerto dai concorrenti</w:t>
      </w:r>
    </w:p>
    <w:p w14:paraId="684535AD" w14:textId="77777777" w:rsidR="004C53A8" w:rsidRDefault="00870286">
      <w:pPr>
        <w:spacing w:before="60" w:after="60"/>
      </w:pPr>
      <w:r>
        <w:rPr>
          <w:rFonts w:ascii="Titillium" w:hAnsi="Titillium"/>
          <w:sz w:val="18"/>
          <w:szCs w:val="18"/>
        </w:rPr>
        <w:t xml:space="preserve">X = 0,80 oppure 0,85 oppure 0,90 </w:t>
      </w:r>
      <w:r>
        <w:rPr>
          <w:rFonts w:ascii="Titillium" w:hAnsi="Titillium"/>
          <w:i/>
          <w:sz w:val="18"/>
          <w:szCs w:val="18"/>
        </w:rPr>
        <w:t>[indicare nei documenti di gara la percentuale applicata</w:t>
      </w:r>
      <w:r>
        <w:rPr>
          <w:rFonts w:ascii="Titillium" w:hAnsi="Titillium"/>
          <w:sz w:val="18"/>
          <w:szCs w:val="18"/>
        </w:rPr>
        <w:t>]</w:t>
      </w:r>
    </w:p>
    <w:p w14:paraId="42291732" w14:textId="77777777" w:rsidR="004C53A8" w:rsidRDefault="00D372C4">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valore del ribasso più conveniente</w:t>
      </w:r>
    </w:p>
    <w:p w14:paraId="3D6BC1D7" w14:textId="77777777" w:rsidR="004C53A8" w:rsidRDefault="004C53A8">
      <w:pPr>
        <w:spacing w:before="60" w:after="60"/>
        <w:rPr>
          <w:rFonts w:ascii="Titillium" w:hAnsi="Titillium"/>
          <w:i/>
          <w:szCs w:val="24"/>
        </w:rPr>
      </w:pPr>
    </w:p>
    <w:p w14:paraId="69F8256D" w14:textId="77777777" w:rsidR="004C53A8" w:rsidRDefault="00870286">
      <w:pPr>
        <w:spacing w:before="60" w:after="60"/>
        <w:rPr>
          <w:rFonts w:ascii="Titillium" w:hAnsi="Titillium"/>
          <w:b/>
          <w:i/>
          <w:sz w:val="18"/>
          <w:szCs w:val="18"/>
        </w:rPr>
      </w:pPr>
      <w:r>
        <w:rPr>
          <w:rFonts w:ascii="Titillium" w:hAnsi="Titillium"/>
          <w:b/>
          <w:i/>
          <w:sz w:val="18"/>
          <w:szCs w:val="18"/>
        </w:rPr>
        <w:t>[o in alternativa]</w:t>
      </w:r>
    </w:p>
    <w:p w14:paraId="6FC0BC02" w14:textId="07E25D5A" w:rsidR="004C53A8" w:rsidRDefault="00870286">
      <w:pPr>
        <w:spacing w:before="60" w:after="60"/>
        <w:rPr>
          <w:rFonts w:ascii="Titillium" w:hAnsi="Titillium"/>
          <w:i/>
          <w:sz w:val="18"/>
          <w:szCs w:val="18"/>
        </w:rPr>
      </w:pPr>
      <w:r>
        <w:rPr>
          <w:rFonts w:ascii="Titillium" w:hAnsi="Titillium"/>
          <w:b/>
          <w:sz w:val="18"/>
          <w:szCs w:val="18"/>
        </w:rPr>
        <w:t xml:space="preserve">Formula “…”   </w:t>
      </w:r>
      <w:r>
        <w:rPr>
          <w:rFonts w:ascii="Titillium" w:hAnsi="Titillium"/>
          <w:i/>
          <w:sz w:val="18"/>
          <w:szCs w:val="18"/>
        </w:rPr>
        <w:t>[Riportare la formula non lineare/indipendente prescelta tra quelle riportate nelle Linee guida dell’ANAC n. 2/2016, paragrafo IV o altre].</w:t>
      </w:r>
    </w:p>
    <w:p w14:paraId="122400D1" w14:textId="2B3F0C1E" w:rsidR="00205E05" w:rsidRDefault="00205E05">
      <w:pPr>
        <w:spacing w:before="60" w:after="60"/>
        <w:rPr>
          <w:rFonts w:ascii="Titillium" w:hAnsi="Titillium"/>
          <w:i/>
          <w:sz w:val="18"/>
          <w:szCs w:val="18"/>
        </w:rPr>
      </w:pPr>
    </w:p>
    <w:tbl>
      <w:tblPr>
        <w:tblStyle w:val="Grigliatabella"/>
        <w:tblW w:w="0" w:type="auto"/>
        <w:tblLook w:val="04A0" w:firstRow="1" w:lastRow="0" w:firstColumn="1" w:lastColumn="0" w:noHBand="0" w:noVBand="1"/>
      </w:tblPr>
      <w:tblGrid>
        <w:gridCol w:w="9210"/>
      </w:tblGrid>
      <w:tr w:rsidR="00205E05" w14:paraId="7846772F" w14:textId="77777777" w:rsidTr="00205E05">
        <w:tc>
          <w:tcPr>
            <w:tcW w:w="9210" w:type="dxa"/>
          </w:tcPr>
          <w:p w14:paraId="209E699D" w14:textId="408DFBD9" w:rsidR="00205E05" w:rsidRPr="005D2838" w:rsidRDefault="00205E05" w:rsidP="00507CF7">
            <w:pPr>
              <w:spacing w:before="60" w:after="60"/>
              <w:rPr>
                <w:i/>
              </w:rPr>
            </w:pPr>
            <w:r w:rsidRPr="005D2838">
              <w:rPr>
                <w:rFonts w:ascii="Titillium" w:hAnsi="Titillium"/>
                <w:i/>
                <w:sz w:val="18"/>
                <w:szCs w:val="18"/>
              </w:rPr>
              <w:t>N.B.</w:t>
            </w:r>
            <w:r w:rsidRPr="00A87259">
              <w:rPr>
                <w:rFonts w:ascii="Titillium" w:hAnsi="Titillium"/>
                <w:i/>
                <w:sz w:val="18"/>
                <w:szCs w:val="18"/>
              </w:rPr>
              <w:t xml:space="preserve"> Nel caso in cui l’oggetto dell’appalto sia costituito da una pluralità di beni o servizi per ciascuno dei quali sia richiesta un’offerta economica da parte dei concorrenti, la stazione appaltante può calcolare il punteggio dell’offerta economica sul ribasso medio complessivo o sui singoli ribassi. Le due opzioni non sono equivalenti e conducono a risultati </w:t>
            </w:r>
            <w:r w:rsidR="00507CF7" w:rsidRPr="00A87259">
              <w:rPr>
                <w:rFonts w:ascii="Titillium" w:hAnsi="Titillium"/>
                <w:i/>
                <w:sz w:val="18"/>
                <w:szCs w:val="18"/>
              </w:rPr>
              <w:t>differenti</w:t>
            </w:r>
            <w:r w:rsidRPr="00A87259">
              <w:rPr>
                <w:rFonts w:ascii="Titillium" w:hAnsi="Titillium"/>
                <w:i/>
                <w:sz w:val="18"/>
                <w:szCs w:val="18"/>
              </w:rPr>
              <w:t xml:space="preserve">. Il ribasso medio permette di premiare l’offerta complessivamente più conveniente per la stazione appaltante, il ribasso sulle singole voci può permettere di avere una quotazione </w:t>
            </w:r>
            <w:r w:rsidR="00507CF7" w:rsidRPr="00A87259">
              <w:rPr>
                <w:rFonts w:ascii="Titillium" w:hAnsi="Titillium"/>
                <w:i/>
                <w:sz w:val="18"/>
                <w:szCs w:val="18"/>
              </w:rPr>
              <w:t>de</w:t>
            </w:r>
            <w:r w:rsidRPr="00A87259">
              <w:rPr>
                <w:rFonts w:ascii="Titillium" w:hAnsi="Titillium"/>
                <w:i/>
                <w:sz w:val="18"/>
                <w:szCs w:val="18"/>
              </w:rPr>
              <w:t xml:space="preserve">i singoli beni o servizi (che potrebbe essere utile ad esempio per </w:t>
            </w:r>
            <w:r w:rsidR="00507CF7" w:rsidRPr="00A87259">
              <w:rPr>
                <w:rFonts w:ascii="Titillium" w:hAnsi="Titillium"/>
                <w:i/>
                <w:sz w:val="18"/>
                <w:szCs w:val="18"/>
              </w:rPr>
              <w:t xml:space="preserve">la richiesta di </w:t>
            </w:r>
            <w:r w:rsidRPr="00A87259">
              <w:rPr>
                <w:rFonts w:ascii="Titillium" w:hAnsi="Titillium"/>
                <w:i/>
                <w:sz w:val="18"/>
                <w:szCs w:val="18"/>
              </w:rPr>
              <w:t>servizi supplementari)</w:t>
            </w:r>
            <w:r w:rsidR="00507CF7" w:rsidRPr="00A87259">
              <w:rPr>
                <w:rFonts w:ascii="Titillium" w:hAnsi="Titillium"/>
                <w:i/>
                <w:sz w:val="18"/>
                <w:szCs w:val="18"/>
              </w:rPr>
              <w:t>, ma rischia di distorcere l’esito della gara, ad esempio perché si valuta eccessivamente il punteggio ottenuto per un’offerta “marginale”.</w:t>
            </w:r>
          </w:p>
        </w:tc>
      </w:tr>
    </w:tbl>
    <w:p w14:paraId="2CC0986B" w14:textId="77777777" w:rsidR="00205E05" w:rsidRPr="00205E05" w:rsidRDefault="00205E05">
      <w:pPr>
        <w:spacing w:before="60" w:after="60"/>
      </w:pPr>
    </w:p>
    <w:p w14:paraId="4FF98AC4" w14:textId="0F2FDAEB" w:rsidR="004C53A8" w:rsidRDefault="004C667D">
      <w:pPr>
        <w:pStyle w:val="Titolo3"/>
        <w:numPr>
          <w:ilvl w:val="1"/>
          <w:numId w:val="4"/>
        </w:numPr>
        <w:ind w:left="426" w:hanging="426"/>
      </w:pPr>
      <w:bookmarkStart w:id="1936" w:name="_Ref497226795"/>
      <w:bookmarkStart w:id="1937" w:name="_Toc95495913"/>
      <w:r>
        <w:rPr>
          <w:rFonts w:ascii="Titillium" w:hAnsi="Titillium"/>
          <w:iCs/>
          <w:caps w:val="0"/>
          <w:sz w:val="18"/>
          <w:szCs w:val="18"/>
        </w:rPr>
        <w:t>METODO PER IL CALCOLO DEI PUNTEGGI</w:t>
      </w:r>
      <w:bookmarkEnd w:id="1936"/>
      <w:bookmarkEnd w:id="1937"/>
    </w:p>
    <w:p w14:paraId="334D6CBA" w14:textId="7BCB3275" w:rsidR="004C53A8" w:rsidRDefault="00870286">
      <w:pPr>
        <w:spacing w:before="60" w:after="60"/>
      </w:pPr>
      <w:r>
        <w:rPr>
          <w:rFonts w:ascii="Titillium" w:hAnsi="Titillium"/>
          <w:sz w:val="18"/>
          <w:szCs w:val="18"/>
        </w:rPr>
        <w:t>La commissione, terminata l’attribuzione dei coefficienti agli elementi qualitativi e quantitativi, procede, in relazione a ciascuna offerta, all’attribuzione dei punteggi per ogni singolo criterio secondo il seguente metodo: ... [</w:t>
      </w:r>
      <w:r>
        <w:rPr>
          <w:rFonts w:ascii="Titillium" w:hAnsi="Titillium"/>
          <w:i/>
          <w:sz w:val="18"/>
          <w:szCs w:val="18"/>
        </w:rPr>
        <w:t>indicare, motivando la scelta, uno dei metodi - aggregativo compensatore, Electre, metodo AHP, Topsis o altri</w:t>
      </w:r>
      <w:r w:rsidR="00ED1BBB">
        <w:rPr>
          <w:rFonts w:ascii="Titillium" w:hAnsi="Titillium"/>
          <w:i/>
          <w:sz w:val="18"/>
          <w:szCs w:val="18"/>
        </w:rPr>
        <w:t xml:space="preserve"> </w:t>
      </w:r>
      <w:r>
        <w:rPr>
          <w:rFonts w:ascii="Titillium" w:hAnsi="Titillium"/>
          <w:sz w:val="18"/>
          <w:szCs w:val="18"/>
        </w:rPr>
        <w:t xml:space="preserve">- </w:t>
      </w:r>
      <w:r>
        <w:rPr>
          <w:rFonts w:ascii="Titillium" w:hAnsi="Titillium"/>
          <w:i/>
          <w:sz w:val="18"/>
          <w:szCs w:val="18"/>
        </w:rPr>
        <w:t>secondo quanto indicato nelle Linee guida dell’ANAC n. 2/2016, paragrafo VI].</w:t>
      </w:r>
    </w:p>
    <w:p w14:paraId="3C50E826" w14:textId="77777777" w:rsidR="004C53A8" w:rsidRDefault="004C53A8">
      <w:pPr>
        <w:spacing w:before="60" w:after="60"/>
        <w:rPr>
          <w:rFonts w:ascii="Titillium" w:hAnsi="Titillium" w:cs="Calibri"/>
          <w:b/>
          <w:i/>
          <w:szCs w:val="24"/>
          <w:lang w:eastAsia="it-IT"/>
        </w:rPr>
      </w:pPr>
    </w:p>
    <w:p w14:paraId="06E6C5B6" w14:textId="77777777" w:rsidR="004C53A8" w:rsidRDefault="00870286">
      <w:pPr>
        <w:spacing w:before="60" w:after="60"/>
      </w:pPr>
      <w:r>
        <w:rPr>
          <w:rFonts w:ascii="Titillium" w:hAnsi="Titillium" w:cs="Calibri"/>
          <w:b/>
          <w:i/>
          <w:sz w:val="18"/>
          <w:szCs w:val="18"/>
          <w:lang w:eastAsia="it-IT"/>
        </w:rPr>
        <w:t xml:space="preserve">[In caso di scelta del metodo aggregativo-compensatore di cui alle Linee guida dell’ANAC n. 2/2016, paragrafo VI, n.1] </w:t>
      </w:r>
      <w:r>
        <w:rPr>
          <w:rFonts w:ascii="Titillium" w:hAnsi="Titillium"/>
          <w:sz w:val="18"/>
          <w:szCs w:val="18"/>
        </w:rPr>
        <w:t xml:space="preserve">Il punteggio per il concorrente </w:t>
      </w:r>
      <w:r>
        <w:rPr>
          <w:rFonts w:ascii="Titillium" w:hAnsi="Titillium"/>
          <w:i/>
          <w:sz w:val="18"/>
          <w:szCs w:val="18"/>
        </w:rPr>
        <w:t>i-esimo</w:t>
      </w:r>
      <w:r>
        <w:rPr>
          <w:rFonts w:ascii="Titillium" w:hAnsi="Titillium"/>
          <w:sz w:val="18"/>
          <w:szCs w:val="18"/>
        </w:rPr>
        <w:t xml:space="preserve"> è dato dalla seguente formula:</w:t>
      </w:r>
    </w:p>
    <w:p w14:paraId="5E3B8AAB" w14:textId="77777777" w:rsidR="004C53A8" w:rsidRDefault="00D372C4">
      <w:pPr>
        <w:spacing w:before="60" w:after="60"/>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nary>
            <m:naryPr>
              <m:chr m:val="∑"/>
              <m:ctrlPr>
                <w:rPr>
                  <w:rFonts w:ascii="Cambria Math" w:hAnsi="Cambria Math"/>
                </w:rPr>
              </m:ctrlPr>
            </m:naryPr>
            <m:sub>
              <m:r>
                <w:rPr>
                  <w:rFonts w:ascii="Cambria Math" w:hAnsi="Cambria Math"/>
                </w:rPr>
                <m:t>x=1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xi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x</m:t>
                  </m:r>
                </m:sub>
              </m:sSub>
            </m:e>
          </m:nary>
        </m:oMath>
      </m:oMathPara>
    </w:p>
    <w:p w14:paraId="2D439AC3" w14:textId="77777777" w:rsidR="004C53A8" w:rsidRDefault="00870286">
      <w:pPr>
        <w:spacing w:before="60" w:after="60"/>
        <w:rPr>
          <w:rFonts w:ascii="Titillium" w:hAnsi="Titillium"/>
          <w:sz w:val="18"/>
          <w:szCs w:val="18"/>
        </w:rPr>
      </w:pPr>
      <w:r>
        <w:rPr>
          <w:rFonts w:ascii="Titillium" w:hAnsi="Titillium"/>
          <w:sz w:val="18"/>
          <w:szCs w:val="18"/>
        </w:rPr>
        <w:t>dove</w:t>
      </w:r>
    </w:p>
    <w:p w14:paraId="1595001C" w14:textId="77777777" w:rsidR="004C53A8" w:rsidRDefault="00D372C4">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i</m:t>
            </m:r>
          </m:sub>
        </m:sSub>
      </m:oMath>
      <w:r w:rsidR="00870286">
        <w:rPr>
          <w:rFonts w:ascii="Titillium" w:hAnsi="Titillium"/>
          <w:sz w:val="18"/>
          <w:szCs w:val="18"/>
        </w:rPr>
        <w:t xml:space="preserve">= punteggio del concorrente </w:t>
      </w:r>
      <w:r w:rsidR="00870286">
        <w:rPr>
          <w:rFonts w:ascii="Titillium" w:hAnsi="Titillium"/>
          <w:i/>
          <w:sz w:val="18"/>
          <w:szCs w:val="18"/>
        </w:rPr>
        <w:t>i-esimo</w:t>
      </w:r>
    </w:p>
    <w:p w14:paraId="103200C6" w14:textId="77777777" w:rsidR="004C53A8" w:rsidRDefault="00D372C4">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xi</m:t>
            </m:r>
          </m:sub>
        </m:sSub>
      </m:oMath>
      <w:r w:rsidR="00870286">
        <w:rPr>
          <w:rFonts w:ascii="Titillium" w:hAnsi="Titillium"/>
          <w:sz w:val="18"/>
          <w:szCs w:val="18"/>
        </w:rPr>
        <w:t xml:space="preserve"> = coefficiente criterio di valutazione X per il concorrente </w:t>
      </w:r>
      <w:r w:rsidR="00870286">
        <w:rPr>
          <w:rFonts w:ascii="Titillium" w:hAnsi="Titillium"/>
          <w:i/>
          <w:sz w:val="18"/>
          <w:szCs w:val="18"/>
        </w:rPr>
        <w:t>i-esimo</w:t>
      </w:r>
    </w:p>
    <w:p w14:paraId="69547429" w14:textId="77777777" w:rsidR="004C53A8" w:rsidRDefault="00D372C4">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m:t>
        </m:r>
      </m:oMath>
      <w:r w:rsidR="00870286">
        <w:rPr>
          <w:rFonts w:ascii="Titillium" w:hAnsi="Titillium"/>
          <w:sz w:val="18"/>
          <w:szCs w:val="18"/>
        </w:rPr>
        <w:t xml:space="preserve"> punteggio criterio X</w:t>
      </w:r>
    </w:p>
    <w:p w14:paraId="67F926A1" w14:textId="77777777" w:rsidR="004C53A8" w:rsidRDefault="00870286">
      <w:pPr>
        <w:spacing w:before="60" w:after="60"/>
      </w:pPr>
      <w:r>
        <w:rPr>
          <w:rFonts w:ascii="Titillium" w:hAnsi="Titillium"/>
          <w:sz w:val="18"/>
          <w:szCs w:val="18"/>
        </w:rPr>
        <w:t>X = 1, 2, …, n [</w:t>
      </w:r>
      <w:r>
        <w:rPr>
          <w:rFonts w:ascii="Titillium" w:hAnsi="Titillium"/>
          <w:i/>
          <w:sz w:val="18"/>
          <w:szCs w:val="18"/>
        </w:rPr>
        <w:t>indicare il valore di n, ovvero il numero di criteri di valutazione</w:t>
      </w:r>
      <w:r>
        <w:rPr>
          <w:rFonts w:ascii="Titillium" w:hAnsi="Titillium"/>
          <w:sz w:val="18"/>
          <w:szCs w:val="18"/>
        </w:rPr>
        <w:t>]</w:t>
      </w:r>
    </w:p>
    <w:p w14:paraId="5C4BD13E" w14:textId="5BD25FD3" w:rsidR="004C53A8" w:rsidRDefault="00870286">
      <w:pPr>
        <w:spacing w:before="120" w:after="60"/>
      </w:pPr>
      <w:bookmarkStart w:id="1938" w:name="_Toc416423372"/>
      <w:bookmarkStart w:id="1939" w:name="_Toc406754189"/>
      <w:bookmarkStart w:id="1940" w:name="_Toc406058388"/>
      <w:bookmarkStart w:id="1941" w:name="_Toc403471280"/>
      <w:bookmarkStart w:id="1942" w:name="_Toc397422873"/>
      <w:bookmarkStart w:id="1943" w:name="_Toc397346832"/>
      <w:bookmarkStart w:id="1944" w:name="_Toc393706917"/>
      <w:bookmarkStart w:id="1945" w:name="_Toc393700844"/>
      <w:bookmarkStart w:id="1946" w:name="_Toc393283185"/>
      <w:bookmarkStart w:id="1947" w:name="_Toc393272669"/>
      <w:bookmarkStart w:id="1948" w:name="_Toc393272611"/>
      <w:bookmarkStart w:id="1949" w:name="_Toc393187855"/>
      <w:bookmarkStart w:id="1950" w:name="_Toc393112138"/>
      <w:bookmarkStart w:id="1951" w:name="_Toc393110574"/>
      <w:bookmarkStart w:id="1952" w:name="_Toc392577507"/>
      <w:bookmarkStart w:id="1953" w:name="_Toc391036066"/>
      <w:bookmarkStart w:id="1954" w:name="_Toc391035993"/>
      <w:bookmarkStart w:id="1955" w:name="_Toc380501880"/>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r>
        <w:rPr>
          <w:rFonts w:ascii="Titillium" w:eastAsia="SimSun" w:hAnsi="Titillium"/>
          <w:b/>
          <w:i/>
          <w:sz w:val="18"/>
          <w:szCs w:val="18"/>
        </w:rPr>
        <w:t>[</w:t>
      </w:r>
      <w:r>
        <w:rPr>
          <w:rFonts w:ascii="Titillium" w:hAnsi="Titillium" w:cs="Calibri"/>
          <w:b/>
          <w:i/>
          <w:sz w:val="18"/>
          <w:szCs w:val="18"/>
          <w:lang w:eastAsia="it-IT"/>
        </w:rPr>
        <w:t>In caso di scelta di un metodo diverso dall’aggregativo compensatore</w:t>
      </w:r>
      <w:r>
        <w:rPr>
          <w:rFonts w:ascii="Titillium" w:eastAsia="SimSun" w:hAnsi="Titillium"/>
          <w:b/>
          <w:i/>
          <w:sz w:val="18"/>
          <w:szCs w:val="18"/>
        </w:rPr>
        <w:t>]</w:t>
      </w:r>
    </w:p>
    <w:p w14:paraId="63A720CC" w14:textId="77777777" w:rsidR="004C53A8" w:rsidRDefault="00870286">
      <w:pPr>
        <w:spacing w:before="60" w:after="60"/>
      </w:pPr>
      <w:r>
        <w:rPr>
          <w:rFonts w:ascii="Titillium" w:hAnsi="Titillium"/>
          <w:sz w:val="18"/>
          <w:szCs w:val="18"/>
        </w:rPr>
        <w:t xml:space="preserve">Il punteggio è dato </w:t>
      </w:r>
      <w:r>
        <w:rPr>
          <w:rFonts w:ascii="Titillium" w:hAnsi="Titillium"/>
          <w:i/>
          <w:sz w:val="18"/>
          <w:szCs w:val="18"/>
        </w:rPr>
        <w:t>... [indicare il metodo di calcolo prescelto, che deve rispettare i principi contenuti nelle Linee guida n. 2 del 2016 paragrafo VI, e le relative modalità di applicazione].</w:t>
      </w:r>
    </w:p>
    <w:p w14:paraId="1DA213D1" w14:textId="5A68DADC" w:rsidR="004C53A8" w:rsidRDefault="00507CF7">
      <w:pPr>
        <w:spacing w:before="120" w:after="60"/>
      </w:pPr>
      <w:r>
        <w:rPr>
          <w:rFonts w:ascii="Titillium" w:hAnsi="Titillium"/>
          <w:b/>
          <w:i/>
          <w:sz w:val="18"/>
          <w:szCs w:val="18"/>
        </w:rPr>
        <w:t xml:space="preserve">[Facoltativo: I </w:t>
      </w:r>
      <w:r w:rsidR="00870286">
        <w:rPr>
          <w:rFonts w:ascii="Titillium" w:hAnsi="Titillium"/>
          <w:b/>
          <w:i/>
          <w:sz w:val="18"/>
          <w:szCs w:val="18"/>
        </w:rPr>
        <w:t>riparametrazione]</w:t>
      </w:r>
      <w:r w:rsidR="00870286">
        <w:rPr>
          <w:rFonts w:ascii="Titillium" w:hAnsi="Titillium"/>
          <w:sz w:val="18"/>
          <w:szCs w:val="18"/>
        </w:rPr>
        <w:t xml:space="preserve"> Al fine di non alterare i pesi stabiliti tra i vari criteri, se nel singolo criterio nessun concorrente ottiene il punteggio massimo, tale punteggio viene riparametrato </w:t>
      </w:r>
      <w:r w:rsidR="00ED1BBB">
        <w:rPr>
          <w:rFonts w:ascii="Titillium" w:hAnsi="Titillium"/>
          <w:sz w:val="18"/>
          <w:szCs w:val="18"/>
        </w:rPr>
        <w:t>attribuendo all’offerta del concorrente che ha ottenuto il punteggio più alto per il criterio il punteggio massimo previsto e alle offerte degli altri concorrenti un punteggio proporzionale decrescente.</w:t>
      </w:r>
    </w:p>
    <w:p w14:paraId="6DDF0D5E" w14:textId="323AAE57" w:rsidR="004C53A8" w:rsidRDefault="00870286">
      <w:pPr>
        <w:spacing w:before="120" w:after="60"/>
      </w:pPr>
      <w:r>
        <w:rPr>
          <w:rFonts w:ascii="Titillium" w:hAnsi="Titillium"/>
          <w:b/>
          <w:i/>
          <w:sz w:val="18"/>
          <w:szCs w:val="18"/>
        </w:rPr>
        <w:t xml:space="preserve">[Facoltativo: II riparametrazione] </w:t>
      </w:r>
      <w:r>
        <w:rPr>
          <w:rFonts w:ascii="Titillium" w:hAnsi="Titillium"/>
          <w:sz w:val="18"/>
          <w:szCs w:val="18"/>
        </w:rPr>
        <w:t>Al fine di non alterare i pesi stabiliti tra i vari criteri, se nel punteggio</w:t>
      </w:r>
      <w:r w:rsidR="00ED1BBB">
        <w:rPr>
          <w:rFonts w:ascii="Titillium" w:hAnsi="Titillium"/>
          <w:sz w:val="18"/>
          <w:szCs w:val="18"/>
        </w:rPr>
        <w:t xml:space="preserve"> per l’offerta</w:t>
      </w:r>
      <w:r>
        <w:rPr>
          <w:rFonts w:ascii="Titillium" w:hAnsi="Titillium"/>
          <w:sz w:val="18"/>
          <w:szCs w:val="18"/>
        </w:rPr>
        <w:t xml:space="preserve"> tecnic</w:t>
      </w:r>
      <w:r w:rsidR="00ED1BBB">
        <w:rPr>
          <w:rFonts w:ascii="Titillium" w:hAnsi="Titillium"/>
          <w:sz w:val="18"/>
          <w:szCs w:val="18"/>
        </w:rPr>
        <w:t>a</w:t>
      </w:r>
      <w:r>
        <w:rPr>
          <w:rFonts w:ascii="Titillium" w:hAnsi="Titillium"/>
          <w:sz w:val="18"/>
          <w:szCs w:val="18"/>
        </w:rPr>
        <w:t xml:space="preserve"> complessiv</w:t>
      </w:r>
      <w:r w:rsidR="00ED1BBB">
        <w:rPr>
          <w:rFonts w:ascii="Titillium" w:hAnsi="Titillium"/>
          <w:sz w:val="18"/>
          <w:szCs w:val="18"/>
        </w:rPr>
        <w:t>a</w:t>
      </w:r>
      <w:r>
        <w:rPr>
          <w:rFonts w:ascii="Titillium" w:hAnsi="Titillium"/>
          <w:sz w:val="18"/>
          <w:szCs w:val="18"/>
        </w:rPr>
        <w:t xml:space="preserve"> nessun concorrente ottiene il punteggio massimo, tale punteggio viene nuovamente riparametrato </w:t>
      </w:r>
      <w:r w:rsidR="00ED1BBB">
        <w:rPr>
          <w:rFonts w:ascii="Titillium" w:hAnsi="Titillium"/>
          <w:sz w:val="18"/>
          <w:szCs w:val="18"/>
        </w:rPr>
        <w:t>attribuendo all’offerta del concorrente che ha ottenuto il punteggio complessivo più alto per l’offerta tecnica il punteggio massimo previsto e alle offerte degli altri concorrenti un punteggio proporzionale decrescente.</w:t>
      </w:r>
    </w:p>
    <w:p w14:paraId="2110C430" w14:textId="77777777" w:rsidR="004C53A8" w:rsidRDefault="004C53A8">
      <w:pPr>
        <w:tabs>
          <w:tab w:val="left" w:pos="6521"/>
        </w:tabs>
        <w:spacing w:before="60" w:after="60"/>
        <w:ind w:left="426" w:hanging="426"/>
        <w:rPr>
          <w:rFonts w:ascii="Titillium" w:hAnsi="Titillium"/>
          <w:szCs w:val="24"/>
        </w:rPr>
      </w:pPr>
    </w:p>
    <w:p w14:paraId="1B4334CA" w14:textId="77777777" w:rsidR="004C53A8" w:rsidRDefault="00870286">
      <w:pPr>
        <w:pStyle w:val="Titolo2"/>
        <w:numPr>
          <w:ilvl w:val="0"/>
          <w:numId w:val="4"/>
        </w:numPr>
        <w:tabs>
          <w:tab w:val="left" w:pos="6521"/>
        </w:tabs>
        <w:spacing w:before="60" w:after="60"/>
        <w:ind w:left="357" w:hanging="357"/>
        <w:rPr>
          <w:rFonts w:ascii="Titillium" w:hAnsi="Titillium"/>
          <w:sz w:val="18"/>
          <w:szCs w:val="18"/>
          <w:lang w:val="it-IT"/>
        </w:rPr>
      </w:pPr>
      <w:bookmarkStart w:id="1956" w:name="_Toc4034712801"/>
      <w:bookmarkStart w:id="1957" w:name="_Toc3974228731"/>
      <w:bookmarkStart w:id="1958" w:name="_Toc3973468321"/>
      <w:bookmarkStart w:id="1959" w:name="_Toc3937069171"/>
      <w:bookmarkStart w:id="1960" w:name="_Toc3937008441"/>
      <w:bookmarkStart w:id="1961" w:name="_Toc3932831851"/>
      <w:bookmarkStart w:id="1962" w:name="_Toc3932726691"/>
      <w:bookmarkStart w:id="1963" w:name="_Toc3932726111"/>
      <w:bookmarkStart w:id="1964" w:name="_Toc3931878551"/>
      <w:bookmarkStart w:id="1965" w:name="_Toc3931121381"/>
      <w:bookmarkStart w:id="1966" w:name="_Toc3931105741"/>
      <w:bookmarkStart w:id="1967" w:name="_Toc3925775071"/>
      <w:bookmarkStart w:id="1968" w:name="_Toc3910360661"/>
      <w:bookmarkStart w:id="1969" w:name="_Toc3910359931"/>
      <w:bookmarkStart w:id="1970" w:name="_Toc3805018801"/>
      <w:bookmarkStart w:id="1971" w:name="_Toc485218331"/>
      <w:bookmarkStart w:id="1972" w:name="_Toc484688895"/>
      <w:bookmarkStart w:id="1973" w:name="_Toc484688340"/>
      <w:bookmarkStart w:id="1974" w:name="_Toc484605471"/>
      <w:bookmarkStart w:id="1975" w:name="_Toc484605347"/>
      <w:bookmarkStart w:id="1976" w:name="_Toc484526628"/>
      <w:bookmarkStart w:id="1977" w:name="_Toc484449133"/>
      <w:bookmarkStart w:id="1978" w:name="_Toc484449009"/>
      <w:bookmarkStart w:id="1979" w:name="_Toc484448885"/>
      <w:bookmarkStart w:id="1980" w:name="_Toc484448762"/>
      <w:bookmarkStart w:id="1981" w:name="_Toc484448638"/>
      <w:bookmarkStart w:id="1982" w:name="_Toc484448514"/>
      <w:bookmarkStart w:id="1983" w:name="_Toc484448390"/>
      <w:bookmarkStart w:id="1984" w:name="_Toc484448266"/>
      <w:bookmarkStart w:id="1985" w:name="_Toc484448142"/>
      <w:bookmarkStart w:id="1986" w:name="_Toc484440482"/>
      <w:bookmarkStart w:id="1987" w:name="_Toc484440122"/>
      <w:bookmarkStart w:id="1988" w:name="_Toc484439998"/>
      <w:bookmarkStart w:id="1989" w:name="_Toc484439875"/>
      <w:bookmarkStart w:id="1990" w:name="_Toc484438955"/>
      <w:bookmarkStart w:id="1991" w:name="_Toc484438831"/>
      <w:bookmarkStart w:id="1992" w:name="_Toc484438707"/>
      <w:bookmarkStart w:id="1993" w:name="_Toc484429132"/>
      <w:bookmarkStart w:id="1994" w:name="_Toc484428962"/>
      <w:bookmarkStart w:id="1995" w:name="_Toc484097788"/>
      <w:bookmarkStart w:id="1996" w:name="_Toc484011714"/>
      <w:bookmarkStart w:id="1997" w:name="_Toc484011239"/>
      <w:bookmarkStart w:id="1998" w:name="_Toc484011117"/>
      <w:bookmarkStart w:id="1999" w:name="_Toc484010995"/>
      <w:bookmarkStart w:id="2000" w:name="_Toc484010871"/>
      <w:bookmarkStart w:id="2001" w:name="_Toc484010749"/>
      <w:bookmarkStart w:id="2002" w:name="_Toc483906999"/>
      <w:bookmarkStart w:id="2003" w:name="_Toc483571622"/>
      <w:bookmarkStart w:id="2004" w:name="_Toc483571501"/>
      <w:bookmarkStart w:id="2005" w:name="_Toc483474071"/>
      <w:bookmarkStart w:id="2006" w:name="_Toc483401275"/>
      <w:bookmarkStart w:id="2007" w:name="_Toc483325797"/>
      <w:bookmarkStart w:id="2008" w:name="_Toc483316494"/>
      <w:bookmarkStart w:id="2009" w:name="_Toc483316363"/>
      <w:bookmarkStart w:id="2010" w:name="_Toc483316231"/>
      <w:bookmarkStart w:id="2011" w:name="_Toc483316026"/>
      <w:bookmarkStart w:id="2012" w:name="_Toc483302405"/>
      <w:bookmarkStart w:id="2013" w:name="_Toc483233688"/>
      <w:bookmarkStart w:id="2014" w:name="_Toc482979728"/>
      <w:bookmarkStart w:id="2015" w:name="_Toc482979630"/>
      <w:bookmarkStart w:id="2016" w:name="_Toc482979532"/>
      <w:bookmarkStart w:id="2017" w:name="_Toc482979424"/>
      <w:bookmarkStart w:id="2018" w:name="_Toc482979315"/>
      <w:bookmarkStart w:id="2019" w:name="_Toc482979206"/>
      <w:bookmarkStart w:id="2020" w:name="_Toc482979095"/>
      <w:bookmarkStart w:id="2021" w:name="_Toc482978987"/>
      <w:bookmarkStart w:id="2022" w:name="_Toc482978878"/>
      <w:bookmarkStart w:id="2023" w:name="_Toc482959759"/>
      <w:bookmarkStart w:id="2024" w:name="_Toc482959649"/>
      <w:bookmarkStart w:id="2025" w:name="_Toc482959539"/>
      <w:bookmarkStart w:id="2026" w:name="_Toc482712751"/>
      <w:bookmarkStart w:id="2027" w:name="_Toc482641305"/>
      <w:bookmarkStart w:id="2028" w:name="_Toc482633128"/>
      <w:bookmarkStart w:id="2029" w:name="_Toc482352287"/>
      <w:bookmarkStart w:id="2030" w:name="_Toc482352197"/>
      <w:bookmarkStart w:id="2031" w:name="_Toc482352107"/>
      <w:bookmarkStart w:id="2032" w:name="_Toc482352017"/>
      <w:bookmarkStart w:id="2033" w:name="_Toc482102153"/>
      <w:bookmarkStart w:id="2034" w:name="_Toc482102059"/>
      <w:bookmarkStart w:id="2035" w:name="_Toc482101964"/>
      <w:bookmarkStart w:id="2036" w:name="_Toc482101869"/>
      <w:bookmarkStart w:id="2037" w:name="_Toc482101776"/>
      <w:bookmarkStart w:id="2038" w:name="_Toc482101601"/>
      <w:bookmarkStart w:id="2039" w:name="_Toc482101486"/>
      <w:bookmarkStart w:id="2040" w:name="_Toc482101349"/>
      <w:bookmarkStart w:id="2041" w:name="_Toc482100923"/>
      <w:bookmarkStart w:id="2042" w:name="_Toc482100766"/>
      <w:bookmarkStart w:id="2043" w:name="_Toc482099049"/>
      <w:bookmarkStart w:id="2044" w:name="_Toc482097947"/>
      <w:bookmarkStart w:id="2045" w:name="_Toc482097755"/>
      <w:bookmarkStart w:id="2046" w:name="_Toc482097666"/>
      <w:bookmarkStart w:id="2047" w:name="_Toc482097577"/>
      <w:bookmarkStart w:id="2048" w:name="_Toc482025753"/>
      <w:bookmarkStart w:id="2049" w:name="_Toc481772380"/>
      <w:bookmarkStart w:id="2050" w:name="_Toc481772316"/>
      <w:bookmarkStart w:id="2051" w:name="_Toc481511317"/>
      <w:bookmarkStart w:id="2052" w:name="_Toc481511273"/>
      <w:bookmarkStart w:id="2053" w:name="_Toc481511213"/>
      <w:bookmarkStart w:id="2054" w:name="_Toc481511168"/>
      <w:bookmarkStart w:id="2055" w:name="_Toc481511110"/>
      <w:bookmarkStart w:id="2056" w:name="_Toc481165531"/>
      <w:bookmarkStart w:id="2057" w:name="_Toc481165222"/>
      <w:bookmarkStart w:id="2058" w:name="_Toc481160021"/>
      <w:bookmarkStart w:id="2059" w:name="_Toc481159876"/>
      <w:bookmarkStart w:id="2060" w:name="_Toc481159824"/>
      <w:bookmarkStart w:id="2061" w:name="_Toc481159767"/>
      <w:bookmarkStart w:id="2062" w:name="_Toc481159721"/>
      <w:bookmarkStart w:id="2063" w:name="_Toc481159382"/>
      <w:bookmarkStart w:id="2064" w:name="_Toc481158988"/>
      <w:bookmarkStart w:id="2065" w:name="_Toc4164233721"/>
      <w:bookmarkStart w:id="2066" w:name="_Toc4067541891"/>
      <w:bookmarkStart w:id="2067" w:name="_Toc4060583881"/>
      <w:bookmarkStart w:id="2068" w:name="_Toc95495914"/>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rPr>
          <w:rFonts w:ascii="Titillium" w:hAnsi="Titillium"/>
          <w:sz w:val="18"/>
          <w:szCs w:val="18"/>
          <w:lang w:val="it-IT"/>
        </w:rPr>
        <w:t>COMMISSIONE GIUDICATRICE</w:t>
      </w:r>
      <w:bookmarkEnd w:id="2068"/>
    </w:p>
    <w:p w14:paraId="7C4CEA91" w14:textId="5FA5DD1F" w:rsidR="004C53A8" w:rsidRDefault="00870286">
      <w:pPr>
        <w:tabs>
          <w:tab w:val="left" w:pos="6521"/>
        </w:tabs>
        <w:spacing w:before="120" w:after="60"/>
      </w:pPr>
      <w:r>
        <w:rPr>
          <w:rFonts w:ascii="Titillium" w:hAnsi="Titillium" w:cs="Calibri"/>
          <w:b/>
          <w:sz w:val="18"/>
          <w:szCs w:val="18"/>
        </w:rPr>
        <w:t>[</w:t>
      </w:r>
      <w:r>
        <w:rPr>
          <w:rFonts w:ascii="Titillium" w:hAnsi="Titillium" w:cs="Calibri"/>
          <w:b/>
          <w:i/>
          <w:sz w:val="18"/>
          <w:szCs w:val="18"/>
        </w:rPr>
        <w:t>Fino al 30 giugno 2023]</w:t>
      </w:r>
      <w:r>
        <w:rPr>
          <w:rFonts w:ascii="Titillium" w:hAnsi="Titillium" w:cs="Calibri"/>
          <w:sz w:val="18"/>
          <w:szCs w:val="18"/>
        </w:rPr>
        <w:t xml:space="preserve"> La com</w:t>
      </w:r>
      <w:r w:rsidR="00A87259">
        <w:rPr>
          <w:rFonts w:ascii="Titillium" w:hAnsi="Titillium" w:cs="Calibri"/>
          <w:sz w:val="18"/>
          <w:szCs w:val="18"/>
        </w:rPr>
        <w:t>missione giudicatrice è nominata</w:t>
      </w:r>
      <w:r>
        <w:rPr>
          <w:rFonts w:ascii="Titillium" w:hAnsi="Titillium" w:cs="Calibri"/>
          <w:sz w:val="18"/>
          <w:szCs w:val="18"/>
        </w:rPr>
        <w:t xml:space="preserve"> dopo la scadenza del termine per la presentazione delle offerte ed è composta da un numero dispari pari a n. ... [</w:t>
      </w:r>
      <w:r>
        <w:rPr>
          <w:rFonts w:ascii="Titillium" w:hAnsi="Titillium" w:cs="Calibri"/>
          <w:i/>
          <w:sz w:val="18"/>
          <w:szCs w:val="18"/>
        </w:rPr>
        <w:t>min. 3 max 5</w:t>
      </w:r>
      <w:r>
        <w:rPr>
          <w:rFonts w:ascii="Titillium" w:hAnsi="Titillium" w:cs="Calibri"/>
          <w:sz w:val="18"/>
          <w:szCs w:val="18"/>
        </w:rPr>
        <w:t>] membri, esperti nello specifico settore cui si riferisce l’oggetto del contratto. In capo ai commissari non devono sussistere cause ostative alla nomina ai sensi dell’articolo 77, comm</w:t>
      </w:r>
      <w:r w:rsidR="00E069AA">
        <w:rPr>
          <w:rFonts w:ascii="Titillium" w:hAnsi="Titillium" w:cs="Calibri"/>
          <w:sz w:val="18"/>
          <w:szCs w:val="18"/>
        </w:rPr>
        <w:t>i 4, 5 e 6</w:t>
      </w:r>
      <w:r>
        <w:rPr>
          <w:rFonts w:ascii="Titillium" w:hAnsi="Titillium" w:cs="Calibri"/>
          <w:sz w:val="18"/>
          <w:szCs w:val="18"/>
        </w:rPr>
        <w:t xml:space="preserve">, del Codice. A tal fine </w:t>
      </w:r>
      <w:r w:rsidR="00A87259">
        <w:rPr>
          <w:rFonts w:ascii="Titillium" w:hAnsi="Titillium" w:cs="Calibri"/>
          <w:sz w:val="18"/>
          <w:szCs w:val="18"/>
        </w:rPr>
        <w:t>viene richiesta,</w:t>
      </w:r>
      <w:r>
        <w:rPr>
          <w:rFonts w:ascii="Titillium" w:hAnsi="Titillium" w:cs="Calibri"/>
          <w:sz w:val="18"/>
          <w:szCs w:val="18"/>
        </w:rPr>
        <w:t xml:space="preserve"> prima del conferimento dell’incarico</w:t>
      </w:r>
      <w:r w:rsidR="00A87259">
        <w:rPr>
          <w:rFonts w:ascii="Titillium" w:hAnsi="Titillium" w:cs="Calibri"/>
          <w:sz w:val="18"/>
          <w:szCs w:val="18"/>
        </w:rPr>
        <w:t>,</w:t>
      </w:r>
      <w:r>
        <w:rPr>
          <w:rFonts w:ascii="Titillium" w:hAnsi="Titillium" w:cs="Calibri"/>
          <w:sz w:val="18"/>
          <w:szCs w:val="18"/>
        </w:rPr>
        <w:t xml:space="preserve"> apposita dichiarazione.</w:t>
      </w:r>
      <w:r>
        <w:rPr>
          <w:rFonts w:ascii="Titillium" w:hAnsi="Titillium" w:cs="Calibri"/>
          <w:sz w:val="18"/>
          <w:szCs w:val="24"/>
        </w:rPr>
        <w:t xml:space="preserve"> </w:t>
      </w:r>
    </w:p>
    <w:p w14:paraId="2DCFBDEE" w14:textId="0EB2C17D" w:rsidR="004C53A8" w:rsidRDefault="00870286">
      <w:pPr>
        <w:pStyle w:val="Default"/>
        <w:spacing w:before="60" w:after="60"/>
      </w:pPr>
      <w:r>
        <w:rPr>
          <w:rFonts w:ascii="Titillium" w:hAnsi="Titillium" w:cs="Garamond"/>
          <w:sz w:val="18"/>
          <w:szCs w:val="18"/>
        </w:rPr>
        <w:t>La composizione della commissione giudicatrice e i</w:t>
      </w:r>
      <w:r w:rsidR="00A87259">
        <w:rPr>
          <w:rFonts w:ascii="Titillium" w:hAnsi="Titillium" w:cs="Garamond"/>
          <w:sz w:val="18"/>
          <w:szCs w:val="18"/>
        </w:rPr>
        <w:t xml:space="preserve"> curricula dei componenti</w:t>
      </w:r>
      <w:r>
        <w:rPr>
          <w:rFonts w:ascii="Titillium" w:hAnsi="Titillium" w:cs="Garamond"/>
          <w:sz w:val="18"/>
          <w:szCs w:val="18"/>
        </w:rPr>
        <w:t xml:space="preserve"> sono pubblicati</w:t>
      </w:r>
      <w:r w:rsidR="006229B3">
        <w:rPr>
          <w:rFonts w:ascii="Titillium" w:hAnsi="Titillium" w:cs="Garamond"/>
          <w:sz w:val="18"/>
          <w:szCs w:val="18"/>
        </w:rPr>
        <w:t xml:space="preserve"> sul profilo del committente </w:t>
      </w:r>
      <w:r>
        <w:rPr>
          <w:rFonts w:ascii="Titillium" w:hAnsi="Titillium" w:cs="Garamond"/>
          <w:sz w:val="18"/>
          <w:szCs w:val="18"/>
        </w:rPr>
        <w:t>nella sezione “Amministrazione trasparente”</w:t>
      </w:r>
      <w:r w:rsidR="00507CF7">
        <w:rPr>
          <w:rFonts w:ascii="Titillium" w:hAnsi="Titillium" w:cs="Garamond"/>
          <w:sz w:val="18"/>
          <w:szCs w:val="18"/>
        </w:rPr>
        <w:t>.</w:t>
      </w:r>
    </w:p>
    <w:p w14:paraId="7E9BD1A6" w14:textId="7AB58C08" w:rsidR="000154AA" w:rsidRDefault="00870286">
      <w:pPr>
        <w:spacing w:before="60" w:after="60"/>
        <w:rPr>
          <w:rFonts w:ascii="Titillium" w:hAnsi="Titillium" w:cs="Calibri"/>
          <w:sz w:val="18"/>
          <w:szCs w:val="18"/>
        </w:rPr>
      </w:pPr>
      <w:r>
        <w:rPr>
          <w:rFonts w:ascii="Titillium" w:hAnsi="Titillium" w:cs="Calibri"/>
          <w:sz w:val="18"/>
          <w:szCs w:val="18"/>
        </w:rPr>
        <w:t>La commissione giudicatrice è responsabile della valutazione delle offerte tecniche ed economiche dei concorrent</w:t>
      </w:r>
      <w:r w:rsidR="00507CF7">
        <w:rPr>
          <w:rFonts w:ascii="Titillium" w:hAnsi="Titillium" w:cs="Calibri"/>
          <w:sz w:val="18"/>
          <w:szCs w:val="18"/>
        </w:rPr>
        <w:t>i</w:t>
      </w:r>
      <w:r w:rsidR="00B478F6">
        <w:rPr>
          <w:rFonts w:ascii="Titillium" w:hAnsi="Titillium" w:cs="Calibri"/>
          <w:sz w:val="18"/>
          <w:szCs w:val="18"/>
        </w:rPr>
        <w:t xml:space="preserve"> e </w:t>
      </w:r>
      <w:r w:rsidR="00B478F6" w:rsidRPr="00B478F6">
        <w:rPr>
          <w:rFonts w:ascii="Titillium" w:hAnsi="Titillium" w:cs="Calibri"/>
          <w:sz w:val="18"/>
          <w:szCs w:val="18"/>
        </w:rPr>
        <w:t>di regola, lavora a distanza con procedure telematiche che salvaguardino la riservatezza delle comunicazioni</w:t>
      </w:r>
      <w:r w:rsidR="00B478F6">
        <w:rPr>
          <w:rFonts w:ascii="Titillium" w:hAnsi="Titillium" w:cs="Calibri"/>
          <w:sz w:val="18"/>
          <w:szCs w:val="18"/>
        </w:rPr>
        <w:t>.</w:t>
      </w:r>
    </w:p>
    <w:p w14:paraId="15B613AD" w14:textId="54BCABFC" w:rsidR="004C53A8" w:rsidRDefault="00507CF7">
      <w:pPr>
        <w:spacing w:before="60" w:after="60"/>
        <w:rPr>
          <w:rFonts w:ascii="Titillium" w:hAnsi="Titillium" w:cs="Calibri"/>
          <w:sz w:val="18"/>
          <w:szCs w:val="18"/>
        </w:rPr>
      </w:pPr>
      <w:r w:rsidRPr="00331144">
        <w:rPr>
          <w:rFonts w:ascii="Titillium" w:hAnsi="Titillium" w:cs="Calibri"/>
          <w:b/>
          <w:i/>
          <w:sz w:val="18"/>
          <w:szCs w:val="18"/>
        </w:rPr>
        <w:t>[Facoltativo]</w:t>
      </w:r>
      <w:r>
        <w:rPr>
          <w:rFonts w:ascii="Titillium" w:hAnsi="Titillium" w:cs="Calibri"/>
          <w:sz w:val="18"/>
          <w:szCs w:val="18"/>
        </w:rPr>
        <w:t xml:space="preserve"> Il RUP si avvale dell’ausilio della commissione giudicatrice ai fini della </w:t>
      </w:r>
      <w:r w:rsidR="00870286">
        <w:rPr>
          <w:rFonts w:ascii="Titillium" w:hAnsi="Titillium" w:cs="Calibri"/>
          <w:sz w:val="18"/>
          <w:szCs w:val="18"/>
        </w:rPr>
        <w:t>verifica della documentazione amministrativa e dell’anomalia delle offerte</w:t>
      </w:r>
      <w:r>
        <w:rPr>
          <w:rFonts w:ascii="Titillium" w:hAnsi="Titillium" w:cs="Calibri"/>
          <w:sz w:val="18"/>
          <w:szCs w:val="18"/>
        </w:rPr>
        <w:t>.</w:t>
      </w:r>
    </w:p>
    <w:p w14:paraId="5CB180B9" w14:textId="77777777" w:rsidR="004C53A8" w:rsidRDefault="004C53A8">
      <w:pPr>
        <w:tabs>
          <w:tab w:val="left" w:pos="851"/>
        </w:tabs>
        <w:spacing w:before="60" w:after="60"/>
        <w:rPr>
          <w:rFonts w:ascii="Titillium" w:hAnsi="Titillium" w:cs="Calibri"/>
          <w:szCs w:val="24"/>
        </w:rPr>
      </w:pPr>
    </w:p>
    <w:p w14:paraId="20A420C3" w14:textId="77777777" w:rsidR="004C53A8" w:rsidRDefault="00870286">
      <w:pPr>
        <w:pStyle w:val="Titolo2"/>
        <w:numPr>
          <w:ilvl w:val="0"/>
          <w:numId w:val="4"/>
        </w:numPr>
        <w:spacing w:before="60" w:after="60"/>
        <w:ind w:left="357" w:hanging="357"/>
      </w:pPr>
      <w:bookmarkStart w:id="2069" w:name="_Toc95495915"/>
      <w:r>
        <w:rPr>
          <w:rFonts w:ascii="Titillium" w:hAnsi="Titillium"/>
          <w:sz w:val="18"/>
          <w:szCs w:val="18"/>
          <w:lang w:val="it-IT"/>
        </w:rPr>
        <w:t>SVOLGIMENTO delle OPERAZIONI DI GARA</w:t>
      </w:r>
      <w:bookmarkEnd w:id="2069"/>
      <w:r>
        <w:rPr>
          <w:rFonts w:ascii="Titillium" w:hAnsi="Titillium"/>
          <w:sz w:val="18"/>
          <w:szCs w:val="18"/>
          <w:lang w:val="it-IT"/>
        </w:rPr>
        <w:t xml:space="preserve"> </w:t>
      </w:r>
    </w:p>
    <w:p w14:paraId="3AB68DBE" w14:textId="77777777" w:rsidR="006229B3" w:rsidRPr="006229B3" w:rsidRDefault="006229B3" w:rsidP="006229B3">
      <w:pPr>
        <w:spacing w:before="60" w:after="60"/>
        <w:rPr>
          <w:rFonts w:ascii="Titillium" w:hAnsi="Titillium" w:cs="Calibri"/>
          <w:sz w:val="18"/>
          <w:szCs w:val="18"/>
        </w:rPr>
      </w:pPr>
      <w:r w:rsidRPr="006229B3">
        <w:rPr>
          <w:rFonts w:ascii="Titillium" w:hAnsi="Titillium" w:cs="Calibri"/>
          <w:sz w:val="18"/>
          <w:szCs w:val="18"/>
        </w:rPr>
        <w:t xml:space="preserve">La prima seduta ha luogo il giorno … </w:t>
      </w:r>
      <w:r w:rsidRPr="00B478F6">
        <w:rPr>
          <w:rFonts w:ascii="Titillium" w:hAnsi="Titillium" w:cs="Calibri"/>
          <w:i/>
          <w:sz w:val="18"/>
          <w:szCs w:val="18"/>
        </w:rPr>
        <w:t>[indicare il giorno]</w:t>
      </w:r>
      <w:r w:rsidRPr="006229B3">
        <w:rPr>
          <w:rFonts w:ascii="Titillium" w:hAnsi="Titillium" w:cs="Calibri"/>
          <w:sz w:val="18"/>
          <w:szCs w:val="18"/>
        </w:rPr>
        <w:t xml:space="preserve">, alle ore … </w:t>
      </w:r>
      <w:r w:rsidRPr="00B478F6">
        <w:rPr>
          <w:rFonts w:ascii="Titillium" w:hAnsi="Titillium" w:cs="Calibri"/>
          <w:i/>
          <w:sz w:val="18"/>
          <w:szCs w:val="18"/>
        </w:rPr>
        <w:t>[indicare l’ora]</w:t>
      </w:r>
      <w:r w:rsidRPr="006229B3">
        <w:rPr>
          <w:rFonts w:ascii="Titillium" w:hAnsi="Titillium" w:cs="Calibri"/>
          <w:sz w:val="18"/>
          <w:szCs w:val="18"/>
        </w:rPr>
        <w:t>.</w:t>
      </w:r>
    </w:p>
    <w:p w14:paraId="086892D6" w14:textId="77777777" w:rsidR="006229B3" w:rsidRPr="006229B3" w:rsidRDefault="006229B3" w:rsidP="006229B3">
      <w:pPr>
        <w:spacing w:before="60" w:after="60"/>
        <w:rPr>
          <w:rFonts w:ascii="Titillium" w:hAnsi="Titillium" w:cs="Calibri"/>
          <w:sz w:val="18"/>
          <w:szCs w:val="18"/>
        </w:rPr>
      </w:pPr>
      <w:r w:rsidRPr="006229B3">
        <w:rPr>
          <w:rFonts w:ascii="Titillium" w:hAnsi="Titillium" w:cs="Calibri"/>
          <w:sz w:val="18"/>
          <w:szCs w:val="18"/>
        </w:rPr>
        <w:t>Tale seduta, se necessario, è aggiornata ad altra ora o a giorni successivi, nella data e negli orari comunicati ai concorrenti tramite la Piattaforma.</w:t>
      </w:r>
    </w:p>
    <w:p w14:paraId="77ED5D00" w14:textId="77777777" w:rsidR="006229B3" w:rsidRDefault="006229B3" w:rsidP="006229B3">
      <w:pPr>
        <w:spacing w:before="60" w:after="60"/>
        <w:rPr>
          <w:rFonts w:ascii="Titillium" w:hAnsi="Titillium" w:cs="Calibri"/>
          <w:sz w:val="18"/>
          <w:szCs w:val="18"/>
        </w:rPr>
      </w:pPr>
      <w:r w:rsidRPr="006229B3">
        <w:rPr>
          <w:rFonts w:ascii="Titillium" w:hAnsi="Titillium" w:cs="Calibri"/>
          <w:sz w:val="18"/>
          <w:szCs w:val="18"/>
        </w:rPr>
        <w:t xml:space="preserve">Le successive sedute sono comunicate ai concorrenti tramite la Piattaforma almeno ... </w:t>
      </w:r>
      <w:r w:rsidRPr="00B478F6">
        <w:rPr>
          <w:rFonts w:ascii="Titillium" w:hAnsi="Titillium" w:cs="Calibri"/>
          <w:i/>
          <w:sz w:val="18"/>
          <w:szCs w:val="18"/>
        </w:rPr>
        <w:t>[indicare il numero]</w:t>
      </w:r>
      <w:r w:rsidRPr="006229B3">
        <w:rPr>
          <w:rFonts w:ascii="Titillium" w:hAnsi="Titillium" w:cs="Calibri"/>
          <w:sz w:val="18"/>
          <w:szCs w:val="18"/>
        </w:rPr>
        <w:t xml:space="preserve"> giorni prima della data fissata.</w:t>
      </w:r>
    </w:p>
    <w:p w14:paraId="323992C2" w14:textId="5EFD9F94" w:rsidR="00314F24" w:rsidRPr="00314F24" w:rsidRDefault="003259D0" w:rsidP="006229B3">
      <w:pPr>
        <w:spacing w:before="60" w:after="60"/>
        <w:rPr>
          <w:rFonts w:ascii="Titillium" w:hAnsi="Titillium" w:cs="Calibri"/>
          <w:sz w:val="18"/>
          <w:szCs w:val="18"/>
        </w:rPr>
      </w:pPr>
      <w:r>
        <w:rPr>
          <w:rFonts w:ascii="Titillium" w:hAnsi="Titillium" w:cs="Calibri"/>
          <w:sz w:val="18"/>
          <w:szCs w:val="18"/>
        </w:rPr>
        <w:t>La Piattaforma consente</w:t>
      </w:r>
      <w:r w:rsidR="00314F24" w:rsidRPr="00314F24">
        <w:rPr>
          <w:rFonts w:ascii="Titillium" w:hAnsi="Titillium" w:cs="Calibri"/>
          <w:sz w:val="18"/>
          <w:szCs w:val="18"/>
        </w:rPr>
        <w:t xml:space="preserve"> la pubblicità delle sedute di gara preordinate all’apertura:</w:t>
      </w:r>
    </w:p>
    <w:p w14:paraId="65BFE142" w14:textId="18695966" w:rsidR="00314F24" w:rsidRPr="00314F24" w:rsidRDefault="00314F24" w:rsidP="00314F24">
      <w:pPr>
        <w:spacing w:before="60" w:after="60"/>
        <w:rPr>
          <w:rFonts w:ascii="Titillium" w:hAnsi="Titillium" w:cs="Calibri"/>
          <w:sz w:val="18"/>
          <w:szCs w:val="18"/>
        </w:rPr>
      </w:pPr>
      <w:r w:rsidRPr="00314F24">
        <w:rPr>
          <w:rFonts w:ascii="Titillium" w:hAnsi="Titillium" w:cs="Calibri"/>
          <w:sz w:val="18"/>
          <w:szCs w:val="18"/>
        </w:rPr>
        <w:t>•</w:t>
      </w:r>
      <w:r w:rsidRPr="00314F24">
        <w:rPr>
          <w:rFonts w:ascii="Titillium" w:hAnsi="Titillium" w:cs="Calibri"/>
          <w:sz w:val="18"/>
          <w:szCs w:val="18"/>
        </w:rPr>
        <w:tab/>
        <w:t>dell</w:t>
      </w:r>
      <w:r>
        <w:rPr>
          <w:rFonts w:ascii="Titillium" w:hAnsi="Titillium" w:cs="Calibri"/>
          <w:sz w:val="18"/>
          <w:szCs w:val="18"/>
        </w:rPr>
        <w:t>a documentazione amministrativa;</w:t>
      </w:r>
    </w:p>
    <w:p w14:paraId="0D319771" w14:textId="1C2108A0" w:rsidR="00314F24" w:rsidRPr="00314F24" w:rsidRDefault="00314F24" w:rsidP="00314F24">
      <w:pPr>
        <w:spacing w:before="60" w:after="60"/>
        <w:rPr>
          <w:rFonts w:ascii="Titillium" w:hAnsi="Titillium" w:cs="Calibri"/>
          <w:sz w:val="18"/>
          <w:szCs w:val="18"/>
        </w:rPr>
      </w:pPr>
      <w:r>
        <w:rPr>
          <w:rFonts w:ascii="Titillium" w:hAnsi="Titillium" w:cs="Calibri"/>
          <w:sz w:val="18"/>
          <w:szCs w:val="18"/>
        </w:rPr>
        <w:t>•</w:t>
      </w:r>
      <w:r>
        <w:rPr>
          <w:rFonts w:ascii="Titillium" w:hAnsi="Titillium" w:cs="Calibri"/>
          <w:sz w:val="18"/>
          <w:szCs w:val="18"/>
        </w:rPr>
        <w:tab/>
        <w:t>delle offerte tecniche;</w:t>
      </w:r>
    </w:p>
    <w:p w14:paraId="428B8432" w14:textId="42DFDCE3" w:rsidR="00314F24" w:rsidRPr="00314F24" w:rsidRDefault="00314F24" w:rsidP="00314F24">
      <w:pPr>
        <w:spacing w:before="60" w:after="60"/>
        <w:rPr>
          <w:rFonts w:ascii="Titillium" w:hAnsi="Titillium" w:cs="Calibri"/>
          <w:sz w:val="18"/>
          <w:szCs w:val="18"/>
        </w:rPr>
      </w:pPr>
      <w:r w:rsidRPr="00314F24">
        <w:rPr>
          <w:rFonts w:ascii="Titillium" w:hAnsi="Titillium" w:cs="Calibri"/>
          <w:sz w:val="18"/>
          <w:szCs w:val="18"/>
        </w:rPr>
        <w:t>•</w:t>
      </w:r>
      <w:r w:rsidRPr="00314F24">
        <w:rPr>
          <w:rFonts w:ascii="Titillium" w:hAnsi="Titillium" w:cs="Calibri"/>
          <w:sz w:val="18"/>
          <w:szCs w:val="18"/>
        </w:rPr>
        <w:tab/>
        <w:t>delle offerte economiche</w:t>
      </w:r>
      <w:r w:rsidR="006229B3">
        <w:rPr>
          <w:rFonts w:ascii="Titillium" w:hAnsi="Titillium" w:cs="Calibri"/>
          <w:sz w:val="18"/>
          <w:szCs w:val="18"/>
        </w:rPr>
        <w:t>;</w:t>
      </w:r>
    </w:p>
    <w:p w14:paraId="48843B4E" w14:textId="029E09A2" w:rsidR="00314F24" w:rsidRDefault="00831B65">
      <w:pPr>
        <w:spacing w:before="60" w:after="60"/>
        <w:rPr>
          <w:rFonts w:ascii="Titillium" w:hAnsi="Titillium" w:cs="Calibri"/>
          <w:sz w:val="18"/>
          <w:szCs w:val="18"/>
        </w:rPr>
      </w:pPr>
      <w:r>
        <w:rPr>
          <w:rFonts w:ascii="Titillium" w:hAnsi="Titillium" w:cs="Calibri"/>
          <w:sz w:val="18"/>
          <w:szCs w:val="18"/>
        </w:rPr>
        <w:t>e</w:t>
      </w:r>
      <w:r w:rsidR="006229B3">
        <w:rPr>
          <w:rFonts w:ascii="Titillium" w:hAnsi="Titillium" w:cs="Calibri"/>
          <w:sz w:val="18"/>
          <w:szCs w:val="18"/>
        </w:rPr>
        <w:t xml:space="preserve"> la riservatezza delle sedute che non sono pubbliche.</w:t>
      </w:r>
      <w:r w:rsidR="004A0D74">
        <w:rPr>
          <w:rFonts w:ascii="Titillium" w:hAnsi="Titillium" w:cs="Calibri"/>
          <w:sz w:val="18"/>
          <w:szCs w:val="18"/>
        </w:rPr>
        <w:t xml:space="preserve"> </w:t>
      </w:r>
      <w:r w:rsidR="00314F24" w:rsidRPr="00314F24">
        <w:rPr>
          <w:rFonts w:ascii="Titillium" w:hAnsi="Titillium" w:cs="Calibri"/>
          <w:sz w:val="18"/>
          <w:szCs w:val="18"/>
        </w:rPr>
        <w:t>La pubblicità delle sedute è garantita</w:t>
      </w:r>
      <w:r w:rsidR="00314F24">
        <w:rPr>
          <w:rFonts w:ascii="Titillium" w:hAnsi="Titillium" w:cs="Calibri"/>
          <w:sz w:val="18"/>
          <w:szCs w:val="18"/>
        </w:rPr>
        <w:t xml:space="preserve"> </w:t>
      </w:r>
      <w:r w:rsidR="00314F24" w:rsidRPr="00314F24">
        <w:rPr>
          <w:rFonts w:ascii="Titillium" w:hAnsi="Titillium" w:cs="Calibri"/>
          <w:sz w:val="18"/>
          <w:szCs w:val="18"/>
        </w:rPr>
        <w:t xml:space="preserve">mediante collegamento dei concorrenti da remoto </w:t>
      </w:r>
      <w:r w:rsidR="00314F24">
        <w:rPr>
          <w:rFonts w:ascii="Titillium" w:hAnsi="Titillium" w:cs="Calibri"/>
          <w:sz w:val="18"/>
          <w:szCs w:val="18"/>
        </w:rPr>
        <w:t>per consentire</w:t>
      </w:r>
      <w:r w:rsidR="00314F24" w:rsidRPr="00314F24">
        <w:rPr>
          <w:rFonts w:ascii="Titillium" w:hAnsi="Titillium" w:cs="Calibri"/>
          <w:sz w:val="18"/>
          <w:szCs w:val="18"/>
        </w:rPr>
        <w:t xml:space="preserve"> a ciascun soggetto interessato di visualizzare le operazioni della seduta </w:t>
      </w:r>
      <w:r w:rsidR="00314F24" w:rsidRPr="007A1EDB">
        <w:rPr>
          <w:rFonts w:ascii="Titillium" w:hAnsi="Titillium" w:cs="Calibri"/>
          <w:i/>
          <w:sz w:val="18"/>
          <w:szCs w:val="18"/>
        </w:rPr>
        <w:t>[indicare le modalità di collegamento]</w:t>
      </w:r>
      <w:r w:rsidR="00314F24" w:rsidRPr="00314F24">
        <w:rPr>
          <w:rFonts w:ascii="Titillium" w:hAnsi="Titillium" w:cs="Calibri"/>
          <w:sz w:val="18"/>
          <w:szCs w:val="18"/>
        </w:rPr>
        <w:t>.</w:t>
      </w:r>
    </w:p>
    <w:p w14:paraId="0CC6899B" w14:textId="784DD682" w:rsidR="00922FC9" w:rsidRDefault="00870286">
      <w:pPr>
        <w:spacing w:before="60" w:after="60"/>
        <w:rPr>
          <w:rFonts w:ascii="Titillium" w:eastAsia="SimSun" w:hAnsi="Titillium"/>
          <w:bCs/>
          <w:iCs/>
          <w:sz w:val="18"/>
          <w:szCs w:val="18"/>
        </w:rPr>
      </w:pPr>
      <w:r>
        <w:rPr>
          <w:rFonts w:ascii="Titillium" w:eastAsia="SimSun" w:hAnsi="Titillium" w:cs="Calibri"/>
          <w:b/>
          <w:i/>
          <w:sz w:val="18"/>
          <w:szCs w:val="18"/>
        </w:rPr>
        <w:t xml:space="preserve">[Facoltativo In caso di ricorso alla facoltà cosiddetta di inversione procedimentale, </w:t>
      </w:r>
      <w:r>
        <w:rPr>
          <w:rFonts w:ascii="Titillium" w:eastAsia="SimSun" w:hAnsi="Titillium"/>
          <w:b/>
          <w:bCs/>
          <w:i/>
          <w:iCs/>
          <w:sz w:val="18"/>
          <w:szCs w:val="18"/>
        </w:rPr>
        <w:t xml:space="preserve">prevista fino al 30 giugno 2023, in virtù dell’articolo 1, </w:t>
      </w:r>
      <w:r w:rsidR="00A65180">
        <w:rPr>
          <w:rFonts w:ascii="Titillium" w:eastAsia="SimSun" w:hAnsi="Titillium"/>
          <w:b/>
          <w:bCs/>
          <w:i/>
          <w:iCs/>
          <w:sz w:val="18"/>
          <w:szCs w:val="18"/>
        </w:rPr>
        <w:t>comma 3, del decreto legge 32/19, convertito in legge n. 55/</w:t>
      </w:r>
      <w:r>
        <w:rPr>
          <w:rFonts w:ascii="Titillium" w:eastAsia="SimSun" w:hAnsi="Titillium"/>
          <w:b/>
          <w:bCs/>
          <w:i/>
          <w:iCs/>
          <w:sz w:val="18"/>
          <w:szCs w:val="18"/>
        </w:rPr>
        <w:t>19 come modificato dal decreto l</w:t>
      </w:r>
      <w:r w:rsidR="00A65180">
        <w:rPr>
          <w:rFonts w:ascii="Titillium" w:eastAsia="SimSun" w:hAnsi="Titillium"/>
          <w:b/>
          <w:bCs/>
          <w:i/>
          <w:iCs/>
          <w:sz w:val="18"/>
          <w:szCs w:val="18"/>
        </w:rPr>
        <w:t>egge n. 76/</w:t>
      </w:r>
      <w:r w:rsidR="00314F24">
        <w:rPr>
          <w:rFonts w:ascii="Titillium" w:eastAsia="SimSun" w:hAnsi="Titillium"/>
          <w:b/>
          <w:bCs/>
          <w:i/>
          <w:iCs/>
          <w:sz w:val="18"/>
          <w:szCs w:val="18"/>
        </w:rPr>
        <w:t>20 e dal decreto l</w:t>
      </w:r>
      <w:r w:rsidR="00A65180">
        <w:rPr>
          <w:rFonts w:ascii="Titillium" w:eastAsia="SimSun" w:hAnsi="Titillium"/>
          <w:b/>
          <w:bCs/>
          <w:i/>
          <w:iCs/>
          <w:sz w:val="18"/>
          <w:szCs w:val="18"/>
        </w:rPr>
        <w:t>egge n. 77/</w:t>
      </w:r>
      <w:r>
        <w:rPr>
          <w:rFonts w:ascii="Titillium" w:eastAsia="SimSun" w:hAnsi="Titillium"/>
          <w:b/>
          <w:bCs/>
          <w:i/>
          <w:iCs/>
          <w:sz w:val="18"/>
          <w:szCs w:val="18"/>
        </w:rPr>
        <w:t>21, la verifica dei requisiti di partecipazione segue al sub-procedimento di verifica dell’anomalia delle offerte</w:t>
      </w:r>
      <w:r>
        <w:rPr>
          <w:rFonts w:ascii="Titillium" w:eastAsia="SimSun" w:hAnsi="Titillium"/>
          <w:b/>
          <w:bCs/>
          <w:i/>
          <w:sz w:val="18"/>
          <w:szCs w:val="18"/>
        </w:rPr>
        <w:t xml:space="preserve">] </w:t>
      </w:r>
      <w:r>
        <w:rPr>
          <w:rFonts w:ascii="Titillium" w:eastAsia="SimSun" w:hAnsi="Titillium"/>
          <w:sz w:val="18"/>
          <w:szCs w:val="18"/>
        </w:rPr>
        <w:t>La stazione appaltante intende avvalersi de</w:t>
      </w:r>
      <w:r>
        <w:rPr>
          <w:rFonts w:ascii="Titillium" w:eastAsia="SimSun" w:hAnsi="Titillium" w:cs="Calibri"/>
          <w:sz w:val="18"/>
          <w:szCs w:val="18"/>
        </w:rPr>
        <w:t xml:space="preserve">lla facoltà cosiddetta di inversione procedimentale, </w:t>
      </w:r>
      <w:r>
        <w:rPr>
          <w:rFonts w:ascii="Titillium" w:eastAsia="SimSun" w:hAnsi="Titillium"/>
          <w:bCs/>
          <w:iCs/>
          <w:sz w:val="18"/>
          <w:szCs w:val="18"/>
        </w:rPr>
        <w:t>e pertanto procede prima alla valutazione dell’offerta tecnica, poi alla valutazione dell’offerta economica, di tutti i concorrenti, poi, alla verifica della</w:t>
      </w:r>
      <w:r w:rsidR="00B76CCF">
        <w:rPr>
          <w:rFonts w:ascii="Titillium" w:eastAsia="SimSun" w:hAnsi="Titillium"/>
          <w:bCs/>
          <w:iCs/>
          <w:sz w:val="18"/>
          <w:szCs w:val="18"/>
        </w:rPr>
        <w:t xml:space="preserve"> documentazione amministrativa </w:t>
      </w:r>
      <w:r>
        <w:rPr>
          <w:rFonts w:ascii="Titillium" w:eastAsia="SimSun" w:hAnsi="Titillium"/>
          <w:bCs/>
          <w:iCs/>
          <w:sz w:val="18"/>
          <w:szCs w:val="18"/>
        </w:rPr>
        <w:t xml:space="preserve">del concorrente primo in graduatoria.  </w:t>
      </w:r>
      <w:r w:rsidRPr="00922FC9">
        <w:rPr>
          <w:rFonts w:ascii="Titillium" w:eastAsia="SimSun" w:hAnsi="Titillium"/>
          <w:bCs/>
          <w:iCs/>
          <w:sz w:val="18"/>
          <w:szCs w:val="18"/>
        </w:rPr>
        <w:t>La verifica dell’anomalia avviene dopo le operazioni della commissione di gara</w:t>
      </w:r>
      <w:r w:rsidR="00922FC9">
        <w:rPr>
          <w:rFonts w:ascii="Titillium" w:eastAsia="SimSun" w:hAnsi="Titillium"/>
          <w:bCs/>
          <w:iCs/>
          <w:sz w:val="18"/>
          <w:szCs w:val="18"/>
        </w:rPr>
        <w:t xml:space="preserve">. </w:t>
      </w:r>
    </w:p>
    <w:p w14:paraId="437B0E51" w14:textId="2873FFAB" w:rsidR="004C53A8" w:rsidRDefault="00922FC9">
      <w:pPr>
        <w:spacing w:before="60" w:after="60"/>
      </w:pPr>
      <w:r w:rsidRPr="00922FC9">
        <w:rPr>
          <w:rFonts w:ascii="Titillium" w:eastAsia="SimSun" w:hAnsi="Titillium"/>
          <w:b/>
          <w:bCs/>
          <w:iCs/>
          <w:sz w:val="18"/>
          <w:szCs w:val="18"/>
        </w:rPr>
        <w:t>[</w:t>
      </w:r>
      <w:r w:rsidR="000F3274" w:rsidRPr="00922FC9">
        <w:rPr>
          <w:rFonts w:ascii="Titillium" w:eastAsia="SimSun" w:hAnsi="Titillium"/>
          <w:b/>
          <w:bCs/>
          <w:iCs/>
          <w:sz w:val="18"/>
          <w:szCs w:val="18"/>
        </w:rPr>
        <w:t>In alternativa</w:t>
      </w:r>
      <w:r w:rsidRPr="00922FC9">
        <w:rPr>
          <w:rFonts w:ascii="Titillium" w:eastAsia="SimSun" w:hAnsi="Titillium"/>
          <w:b/>
          <w:bCs/>
          <w:iCs/>
          <w:sz w:val="18"/>
          <w:szCs w:val="18"/>
        </w:rPr>
        <w:t>]</w:t>
      </w:r>
      <w:r w:rsidR="000F3274">
        <w:rPr>
          <w:rFonts w:ascii="Titillium" w:eastAsia="SimSun" w:hAnsi="Titillium"/>
          <w:bCs/>
          <w:iCs/>
          <w:sz w:val="18"/>
          <w:szCs w:val="18"/>
        </w:rPr>
        <w:t xml:space="preserve"> </w:t>
      </w:r>
      <w:r w:rsidR="004548C0" w:rsidRPr="004548C0">
        <w:rPr>
          <w:rFonts w:ascii="Titillium" w:eastAsia="SimSun" w:hAnsi="Titillium"/>
          <w:bCs/>
          <w:iCs/>
          <w:sz w:val="18"/>
          <w:szCs w:val="18"/>
        </w:rPr>
        <w:t xml:space="preserve">La stazione appaltante intende avvalersi della facoltà cosiddetta di inversione procedimentale, e pertanto procede prima alla valutazione dell’offerta tecnica, poi alla valutazione dell’offerta economica, di tutti i concorrenti, poi, alla </w:t>
      </w:r>
      <w:r w:rsidR="005A3ACC">
        <w:rPr>
          <w:rFonts w:ascii="Titillium" w:eastAsia="SimSun" w:hAnsi="Titillium"/>
          <w:bCs/>
          <w:iCs/>
          <w:sz w:val="18"/>
          <w:szCs w:val="18"/>
        </w:rPr>
        <w:t>verifica dell</w:t>
      </w:r>
      <w:r>
        <w:rPr>
          <w:rFonts w:ascii="Titillium" w:eastAsia="SimSun" w:hAnsi="Titillium"/>
          <w:bCs/>
          <w:iCs/>
          <w:sz w:val="18"/>
          <w:szCs w:val="18"/>
        </w:rPr>
        <w:t xml:space="preserve">’anomalia </w:t>
      </w:r>
      <w:r w:rsidR="004548C0">
        <w:rPr>
          <w:rFonts w:ascii="Titillium" w:eastAsia="SimSun" w:hAnsi="Titillium"/>
          <w:bCs/>
          <w:iCs/>
          <w:sz w:val="18"/>
          <w:szCs w:val="18"/>
        </w:rPr>
        <w:t xml:space="preserve">e, infine, alla </w:t>
      </w:r>
      <w:r w:rsidR="004548C0" w:rsidRPr="004548C0">
        <w:rPr>
          <w:rFonts w:ascii="Titillium" w:eastAsia="SimSun" w:hAnsi="Titillium"/>
          <w:bCs/>
          <w:iCs/>
          <w:sz w:val="18"/>
          <w:szCs w:val="18"/>
        </w:rPr>
        <w:t>verifica della documentazione amministrativa</w:t>
      </w:r>
      <w:r w:rsidR="00434697">
        <w:rPr>
          <w:rFonts w:ascii="Titillium" w:eastAsia="SimSun" w:hAnsi="Titillium"/>
          <w:bCs/>
          <w:iCs/>
          <w:sz w:val="18"/>
          <w:szCs w:val="18"/>
        </w:rPr>
        <w:t>.</w:t>
      </w:r>
      <w:r w:rsidR="004548C0" w:rsidRPr="004548C0">
        <w:rPr>
          <w:rFonts w:ascii="Titillium" w:eastAsia="SimSun" w:hAnsi="Titillium"/>
          <w:bCs/>
          <w:iCs/>
          <w:sz w:val="18"/>
          <w:szCs w:val="18"/>
        </w:rPr>
        <w:t xml:space="preserve">  </w:t>
      </w:r>
    </w:p>
    <w:tbl>
      <w:tblPr>
        <w:tblStyle w:val="Grigliatabella"/>
        <w:tblW w:w="0" w:type="auto"/>
        <w:tblLook w:val="04A0" w:firstRow="1" w:lastRow="0" w:firstColumn="1" w:lastColumn="0" w:noHBand="0" w:noVBand="1"/>
      </w:tblPr>
      <w:tblGrid>
        <w:gridCol w:w="9210"/>
      </w:tblGrid>
      <w:tr w:rsidR="006229B3" w14:paraId="57FFA0C8" w14:textId="77777777" w:rsidTr="006229B3">
        <w:tc>
          <w:tcPr>
            <w:tcW w:w="9210" w:type="dxa"/>
          </w:tcPr>
          <w:p w14:paraId="21A2539B" w14:textId="77777777"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Nelle more dell’adeguamento dei sistemi telematici alle previsioni del decreto della Presidenza del Consiglio dei Ministri n.148/21, la pubblicità delle sedute è garantita:</w:t>
            </w:r>
          </w:p>
          <w:p w14:paraId="24939E2A" w14:textId="57464F36"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 xml:space="preserve">[In alternativa] dalla conoscibilità delle operazioni attraverso </w:t>
            </w:r>
            <w:r w:rsidR="00831B65" w:rsidRPr="007A1EDB">
              <w:rPr>
                <w:rFonts w:ascii="Titillium" w:hAnsi="Titillium" w:cs="Calibri"/>
                <w:i/>
                <w:sz w:val="18"/>
                <w:szCs w:val="18"/>
              </w:rPr>
              <w:t>la</w:t>
            </w:r>
            <w:r w:rsidRPr="007A1EDB">
              <w:rPr>
                <w:rFonts w:ascii="Titillium" w:hAnsi="Titillium" w:cs="Calibri"/>
                <w:i/>
                <w:sz w:val="18"/>
                <w:szCs w:val="18"/>
              </w:rPr>
              <w:t xml:space="preserve"> piattaforma; </w:t>
            </w:r>
          </w:p>
          <w:p w14:paraId="4E277345" w14:textId="09DB050F"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 xml:space="preserve">[In alternativa] attraverso </w:t>
            </w:r>
            <w:r w:rsidR="00831B65" w:rsidRPr="007A1EDB">
              <w:rPr>
                <w:rFonts w:ascii="Titillium" w:hAnsi="Titillium" w:cs="Calibri"/>
                <w:i/>
                <w:sz w:val="18"/>
                <w:szCs w:val="18"/>
              </w:rPr>
              <w:t xml:space="preserve">la </w:t>
            </w:r>
            <w:r w:rsidRPr="007A1EDB">
              <w:rPr>
                <w:rFonts w:ascii="Titillium" w:hAnsi="Titillium" w:cs="Calibri"/>
                <w:i/>
                <w:sz w:val="18"/>
                <w:szCs w:val="18"/>
              </w:rPr>
              <w:t>comunicazione ai concorrenti delle operazioni svolte durante la seduta di gara da inviarsi, tramite piattaforma, al termine della stessa (oppure entro i successivi … [indicare] giorni.</w:t>
            </w:r>
          </w:p>
          <w:p w14:paraId="5B835278" w14:textId="5A7DF8E1" w:rsidR="006229B3" w:rsidRDefault="006229B3" w:rsidP="006229B3">
            <w:pPr>
              <w:spacing w:before="60" w:after="60"/>
              <w:rPr>
                <w:rFonts w:ascii="Titillium" w:hAnsi="Titillium" w:cs="Calibri"/>
                <w:sz w:val="18"/>
                <w:szCs w:val="18"/>
              </w:rPr>
            </w:pPr>
            <w:r w:rsidRPr="007A1EDB">
              <w:rPr>
                <w:rFonts w:ascii="Titillium" w:hAnsi="Titillium" w:cs="Calibri"/>
                <w:i/>
                <w:sz w:val="18"/>
                <w:szCs w:val="18"/>
              </w:rPr>
              <w:t>[In alternativa] mediante collegamento dei concorrenti da remoto per consentire a ciascun soggetto interessato di visualizzare le operazioni della seduta [indicare le modalità di collegamento].</w:t>
            </w:r>
          </w:p>
        </w:tc>
      </w:tr>
    </w:tbl>
    <w:p w14:paraId="62E123F9" w14:textId="19FB23A4" w:rsidR="004C53A8" w:rsidRDefault="004C53A8">
      <w:pPr>
        <w:spacing w:before="60" w:after="60"/>
        <w:rPr>
          <w:rFonts w:ascii="Titillium" w:hAnsi="Titillium" w:cs="Calibri"/>
          <w:sz w:val="18"/>
          <w:szCs w:val="18"/>
        </w:rPr>
      </w:pPr>
    </w:p>
    <w:p w14:paraId="2038F378" w14:textId="77777777" w:rsidR="006229B3" w:rsidRDefault="006229B3">
      <w:pPr>
        <w:spacing w:before="60" w:after="60"/>
        <w:rPr>
          <w:rFonts w:ascii="Titillium" w:hAnsi="Titillium" w:cs="Calibri"/>
          <w:sz w:val="18"/>
          <w:szCs w:val="18"/>
        </w:rPr>
      </w:pPr>
    </w:p>
    <w:p w14:paraId="722DEC88" w14:textId="77777777" w:rsidR="004C53A8" w:rsidRDefault="00870286">
      <w:pPr>
        <w:pStyle w:val="Titolo2"/>
        <w:numPr>
          <w:ilvl w:val="0"/>
          <w:numId w:val="4"/>
        </w:numPr>
        <w:spacing w:before="60" w:after="60"/>
        <w:ind w:left="357" w:hanging="357"/>
        <w:rPr>
          <w:rFonts w:ascii="Titillium" w:hAnsi="Titillium"/>
          <w:sz w:val="18"/>
          <w:szCs w:val="18"/>
          <w:lang w:val="it-IT"/>
        </w:rPr>
      </w:pPr>
      <w:bookmarkStart w:id="2070" w:name="_Toc95495916"/>
      <w:r>
        <w:rPr>
          <w:rFonts w:ascii="Titillium" w:hAnsi="Titillium"/>
          <w:sz w:val="18"/>
          <w:szCs w:val="18"/>
          <w:lang w:val="it-IT"/>
        </w:rPr>
        <w:t>VERIFICA DOCUMENTAZIONE AMMINISTRATIVA</w:t>
      </w:r>
      <w:bookmarkEnd w:id="2070"/>
    </w:p>
    <w:p w14:paraId="0C259926" w14:textId="38F67363" w:rsidR="004C53A8" w:rsidRPr="00A65180" w:rsidRDefault="00870286">
      <w:pPr>
        <w:spacing w:before="60" w:after="60"/>
        <w:rPr>
          <w:i/>
          <w:strike/>
        </w:rPr>
      </w:pPr>
      <w:r>
        <w:rPr>
          <w:rFonts w:ascii="Titillium" w:eastAsia="SimSun" w:hAnsi="Titillium" w:cs="Calibri"/>
          <w:b/>
          <w:i/>
          <w:sz w:val="18"/>
          <w:szCs w:val="18"/>
        </w:rPr>
        <w:t>[In caso di mancato ricorso alla facoltà di inversione procedimentale</w:t>
      </w:r>
      <w:r w:rsidR="00B76CCF">
        <w:rPr>
          <w:rFonts w:ascii="Titillium" w:eastAsia="SimSun" w:hAnsi="Titillium" w:cs="Calibri"/>
          <w:b/>
          <w:i/>
          <w:sz w:val="18"/>
          <w:szCs w:val="18"/>
        </w:rPr>
        <w:t>.</w:t>
      </w:r>
      <w:r w:rsidR="00922FC9">
        <w:rPr>
          <w:rFonts w:ascii="Titillium" w:eastAsia="SimSun" w:hAnsi="Titillium" w:cs="Calibri"/>
          <w:b/>
          <w:i/>
          <w:sz w:val="18"/>
          <w:szCs w:val="18"/>
        </w:rPr>
        <w:t xml:space="preserve"> Altrimenti </w:t>
      </w:r>
      <w:r w:rsidRPr="00C25436">
        <w:rPr>
          <w:rFonts w:ascii="Titillium" w:eastAsia="SimSun" w:hAnsi="Titillium" w:cs="Calibri"/>
          <w:b/>
          <w:bCs/>
          <w:i/>
          <w:iCs/>
          <w:sz w:val="18"/>
          <w:szCs w:val="18"/>
        </w:rPr>
        <w:t>questo artic</w:t>
      </w:r>
      <w:r w:rsidRPr="00C25436">
        <w:rPr>
          <w:rFonts w:ascii="Titillium" w:eastAsia="SimSun" w:hAnsi="Titillium"/>
          <w:b/>
          <w:bCs/>
          <w:i/>
          <w:iCs/>
          <w:sz w:val="18"/>
          <w:szCs w:val="18"/>
        </w:rPr>
        <w:t>olo non deve essere presente</w:t>
      </w:r>
      <w:r w:rsidRPr="00A65180">
        <w:rPr>
          <w:rFonts w:ascii="Titillium" w:eastAsia="SimSun" w:hAnsi="Titillium"/>
          <w:b/>
          <w:bCs/>
          <w:i/>
          <w:sz w:val="18"/>
          <w:szCs w:val="18"/>
        </w:rPr>
        <w:t>]</w:t>
      </w:r>
    </w:p>
    <w:p w14:paraId="1F2D0319" w14:textId="397E44CF" w:rsidR="004C53A8" w:rsidRDefault="00870286">
      <w:pPr>
        <w:spacing w:before="60" w:after="60"/>
      </w:pPr>
      <w:r>
        <w:rPr>
          <w:rFonts w:ascii="Titillium" w:hAnsi="Titillium" w:cs="Calibri"/>
          <w:sz w:val="18"/>
          <w:szCs w:val="18"/>
        </w:rPr>
        <w:t xml:space="preserve">Nella prima seduta … </w:t>
      </w:r>
      <w:r>
        <w:rPr>
          <w:rFonts w:ascii="Titillium" w:hAnsi="Titillium" w:cs="Calibri"/>
          <w:i/>
          <w:sz w:val="18"/>
          <w:szCs w:val="18"/>
        </w:rPr>
        <w:t>[</w:t>
      </w:r>
      <w:r>
        <w:rPr>
          <w:rFonts w:ascii="Titillium" w:hAnsi="Titillium" w:cs="Garamond"/>
          <w:i/>
          <w:sz w:val="18"/>
          <w:szCs w:val="18"/>
        </w:rPr>
        <w:t xml:space="preserve">scegliere tra </w:t>
      </w:r>
      <w:r w:rsidR="00831B65">
        <w:rPr>
          <w:rFonts w:ascii="Titillium" w:hAnsi="Titillium" w:cs="Garamond"/>
          <w:i/>
          <w:sz w:val="18"/>
          <w:szCs w:val="18"/>
        </w:rPr>
        <w:t xml:space="preserve">la </w:t>
      </w:r>
      <w:r>
        <w:rPr>
          <w:rFonts w:ascii="Titillium" w:hAnsi="Titillium" w:cs="Garamond"/>
          <w:i/>
          <w:sz w:val="18"/>
          <w:szCs w:val="18"/>
        </w:rPr>
        <w:t>commissione giudicatrice</w:t>
      </w:r>
      <w:r w:rsidR="00831B65">
        <w:rPr>
          <w:rFonts w:ascii="Titillium" w:hAnsi="Titillium" w:cs="Garamond"/>
          <w:i/>
          <w:sz w:val="18"/>
          <w:szCs w:val="18"/>
        </w:rPr>
        <w:t xml:space="preserve"> o il </w:t>
      </w:r>
      <w:r>
        <w:rPr>
          <w:rFonts w:ascii="Titillium" w:hAnsi="Titillium" w:cs="Garamond"/>
          <w:i/>
          <w:sz w:val="18"/>
          <w:szCs w:val="18"/>
        </w:rPr>
        <w:t>RUP</w:t>
      </w:r>
      <w:r w:rsidR="00831B65">
        <w:rPr>
          <w:rFonts w:ascii="Titillium" w:hAnsi="Titillium" w:cs="Garamond"/>
          <w:i/>
          <w:sz w:val="18"/>
          <w:szCs w:val="18"/>
        </w:rPr>
        <w:t xml:space="preserve"> o il</w:t>
      </w:r>
      <w:r>
        <w:rPr>
          <w:rFonts w:ascii="Titillium" w:hAnsi="Titillium" w:cs="Garamond"/>
          <w:i/>
          <w:sz w:val="18"/>
          <w:szCs w:val="18"/>
        </w:rPr>
        <w:t xml:space="preserve"> seggio di gara istituito ad hoc ovvero, se presente nell’organico della stazione appaltante, apposito ufficio-servizio a ciò deputato, sulla base delle disposizioni organizzative proprie della stazione appaltante</w:t>
      </w:r>
      <w:r w:rsidR="00B76CCF">
        <w:rPr>
          <w:rFonts w:ascii="Titillium" w:hAnsi="Titillium" w:cs="Garamond"/>
          <w:sz w:val="18"/>
          <w:szCs w:val="18"/>
        </w:rPr>
        <w:t>]</w:t>
      </w:r>
      <w:r>
        <w:rPr>
          <w:rFonts w:ascii="Titillium" w:hAnsi="Titillium" w:cs="Calibri"/>
          <w:sz w:val="18"/>
          <w:szCs w:val="18"/>
        </w:rPr>
        <w:t xml:space="preserve"> accede </w:t>
      </w:r>
      <w:r w:rsidR="00B76CCF">
        <w:rPr>
          <w:rFonts w:ascii="Titillium" w:hAnsi="Titillium" w:cs="Calibri"/>
          <w:sz w:val="18"/>
          <w:szCs w:val="18"/>
        </w:rPr>
        <w:t xml:space="preserve">alla </w:t>
      </w:r>
      <w:r w:rsidR="00994C13">
        <w:rPr>
          <w:rFonts w:ascii="Titillium" w:hAnsi="Titillium" w:cs="Calibri"/>
          <w:sz w:val="18"/>
          <w:szCs w:val="18"/>
        </w:rPr>
        <w:t>d</w:t>
      </w:r>
      <w:r>
        <w:rPr>
          <w:rFonts w:ascii="Titillium" w:hAnsi="Titillium" w:cs="Calibri"/>
          <w:sz w:val="18"/>
          <w:szCs w:val="18"/>
        </w:rPr>
        <w:t>ocumentazione amministr</w:t>
      </w:r>
      <w:r w:rsidR="00B76CCF">
        <w:rPr>
          <w:rFonts w:ascii="Titillium" w:hAnsi="Titillium" w:cs="Calibri"/>
          <w:sz w:val="18"/>
          <w:szCs w:val="18"/>
        </w:rPr>
        <w:t>ativa</w:t>
      </w:r>
      <w:r>
        <w:rPr>
          <w:rFonts w:ascii="Titillium" w:hAnsi="Titillium" w:cs="Calibri"/>
          <w:sz w:val="18"/>
          <w:szCs w:val="18"/>
        </w:rPr>
        <w:t xml:space="preserve"> di ciascun concorrente, mentre l’offerta tecnica e l’offerta economica restano, chiuse, segrete e bloccate dal sistema, e procede a: </w:t>
      </w:r>
    </w:p>
    <w:p w14:paraId="1CDC8C55" w14:textId="77777777" w:rsidR="004C53A8" w:rsidRDefault="00870286" w:rsidP="0022153A">
      <w:pPr>
        <w:numPr>
          <w:ilvl w:val="0"/>
          <w:numId w:val="8"/>
        </w:numPr>
        <w:tabs>
          <w:tab w:val="left" w:pos="851"/>
        </w:tabs>
        <w:spacing w:before="60" w:after="60"/>
        <w:ind w:left="426"/>
        <w:rPr>
          <w:rFonts w:ascii="Titillium" w:hAnsi="Titillium" w:cs="Calibri"/>
          <w:sz w:val="18"/>
          <w:szCs w:val="18"/>
        </w:rPr>
      </w:pPr>
      <w:r>
        <w:rPr>
          <w:rFonts w:ascii="Titillium" w:hAnsi="Titillium" w:cs="Calibri"/>
          <w:sz w:val="18"/>
          <w:szCs w:val="18"/>
        </w:rPr>
        <w:t>controllare la completezza della documentazione amministrativa presentata;</w:t>
      </w:r>
    </w:p>
    <w:p w14:paraId="54005FD6" w14:textId="77777777" w:rsidR="004C53A8" w:rsidRDefault="00870286" w:rsidP="0022153A">
      <w:pPr>
        <w:pStyle w:val="Paragrafoelenco"/>
        <w:numPr>
          <w:ilvl w:val="0"/>
          <w:numId w:val="8"/>
        </w:numPr>
        <w:tabs>
          <w:tab w:val="left" w:pos="851"/>
        </w:tabs>
        <w:spacing w:before="60" w:after="60"/>
        <w:ind w:left="426"/>
        <w:rPr>
          <w:rFonts w:ascii="Titillium" w:hAnsi="Titillium" w:cs="Calibri"/>
          <w:sz w:val="18"/>
          <w:szCs w:val="18"/>
        </w:rPr>
      </w:pPr>
      <w:r>
        <w:rPr>
          <w:rFonts w:ascii="Titillium" w:hAnsi="Titillium" w:cs="Calibri"/>
          <w:sz w:val="18"/>
          <w:szCs w:val="18"/>
        </w:rPr>
        <w:t>verificare la conformità della documentazione amministrativa a quanto richiesto nel presente disciplinare;</w:t>
      </w:r>
    </w:p>
    <w:p w14:paraId="2D696F1B" w14:textId="2B87683E" w:rsidR="004C53A8" w:rsidRDefault="002B735D" w:rsidP="0022153A">
      <w:pPr>
        <w:pStyle w:val="Paragrafoelenco"/>
        <w:numPr>
          <w:ilvl w:val="0"/>
          <w:numId w:val="8"/>
        </w:numPr>
        <w:tabs>
          <w:tab w:val="left" w:pos="851"/>
        </w:tabs>
        <w:spacing w:before="60" w:after="60"/>
        <w:ind w:left="426"/>
        <w:rPr>
          <w:rFonts w:ascii="Titillium" w:hAnsi="Titillium" w:cs="Calibri"/>
          <w:sz w:val="18"/>
          <w:szCs w:val="18"/>
        </w:rPr>
      </w:pPr>
      <w:r>
        <w:rPr>
          <w:rFonts w:ascii="Titillium" w:eastAsia="SimSun" w:hAnsi="Titillium"/>
          <w:sz w:val="18"/>
          <w:szCs w:val="18"/>
          <w:lang w:eastAsia="en-US"/>
        </w:rPr>
        <w:t>redigere apposito verbale</w:t>
      </w:r>
      <w:r w:rsidR="00994C13">
        <w:rPr>
          <w:rFonts w:ascii="Titillium" w:hAnsi="Titillium" w:cs="Calibri"/>
          <w:sz w:val="18"/>
          <w:szCs w:val="18"/>
        </w:rPr>
        <w:t>.</w:t>
      </w:r>
    </w:p>
    <w:p w14:paraId="40D83AE5" w14:textId="4CCC4D70" w:rsidR="004C53A8" w:rsidRPr="00B76CCF" w:rsidRDefault="00870286">
      <w:pPr>
        <w:tabs>
          <w:tab w:val="left" w:pos="851"/>
        </w:tabs>
        <w:spacing w:before="60" w:after="60"/>
        <w:ind w:left="66"/>
      </w:pPr>
      <w:r w:rsidRPr="00B76CCF">
        <w:rPr>
          <w:rFonts w:ascii="Titillium" w:hAnsi="Titillium" w:cs="Calibri"/>
          <w:sz w:val="18"/>
          <w:szCs w:val="18"/>
        </w:rPr>
        <w:t xml:space="preserve">Ad esito delle verifiche di cui sopra il </w:t>
      </w:r>
      <w:r w:rsidRPr="00B76CCF">
        <w:rPr>
          <w:rFonts w:ascii="Titillium" w:hAnsi="Titillium" w:cs="Garamond"/>
          <w:sz w:val="18"/>
          <w:szCs w:val="18"/>
        </w:rPr>
        <w:t>RUP</w:t>
      </w:r>
      <w:r w:rsidR="00B76CCF" w:rsidRPr="00B76CCF">
        <w:rPr>
          <w:rFonts w:ascii="Titillium" w:hAnsi="Titillium" w:cs="Garamond"/>
          <w:sz w:val="18"/>
          <w:szCs w:val="18"/>
        </w:rPr>
        <w:t xml:space="preserve"> </w:t>
      </w:r>
      <w:r w:rsidRPr="00B76CCF">
        <w:rPr>
          <w:rFonts w:ascii="Titillium" w:eastAsia="Calibri" w:hAnsi="Titillium" w:cs="Garamond"/>
          <w:sz w:val="18"/>
          <w:szCs w:val="18"/>
          <w:lang w:eastAsia="it-IT"/>
        </w:rPr>
        <w:t>provvede a:</w:t>
      </w:r>
    </w:p>
    <w:p w14:paraId="42584619" w14:textId="042D9C9E" w:rsidR="004C53A8" w:rsidRDefault="00870286" w:rsidP="0022153A">
      <w:pPr>
        <w:pStyle w:val="Paragrafoelenco"/>
        <w:numPr>
          <w:ilvl w:val="0"/>
          <w:numId w:val="26"/>
        </w:numPr>
        <w:tabs>
          <w:tab w:val="left" w:pos="851"/>
        </w:tabs>
        <w:spacing w:before="60" w:after="60"/>
        <w:ind w:left="426"/>
        <w:rPr>
          <w:rFonts w:ascii="Titillium" w:hAnsi="Titillium" w:cs="Calibri"/>
          <w:sz w:val="18"/>
          <w:szCs w:val="18"/>
        </w:rPr>
      </w:pPr>
      <w:r>
        <w:rPr>
          <w:rFonts w:ascii="Titillium" w:hAnsi="Titillium" w:cs="Calibri"/>
          <w:sz w:val="18"/>
          <w:szCs w:val="18"/>
        </w:rPr>
        <w:t>attivare la procedura di soccorso istruttorio di cui al precedente punto 14;</w:t>
      </w:r>
    </w:p>
    <w:p w14:paraId="4F85FDEE" w14:textId="16BBEAC7" w:rsidR="004C53A8" w:rsidRDefault="00870286" w:rsidP="0022153A">
      <w:pPr>
        <w:pStyle w:val="Paragrafoelenco"/>
        <w:numPr>
          <w:ilvl w:val="0"/>
          <w:numId w:val="26"/>
        </w:numPr>
        <w:tabs>
          <w:tab w:val="left" w:pos="851"/>
        </w:tabs>
        <w:spacing w:before="60" w:after="60"/>
        <w:ind w:left="426"/>
      </w:pPr>
      <w:r>
        <w:rPr>
          <w:rFonts w:ascii="Titillium" w:hAnsi="Titillium" w:cs="Calibri"/>
          <w:sz w:val="18"/>
          <w:szCs w:val="18"/>
        </w:rPr>
        <w:t>adottare il provvedimento che determina le esclusioni e le ammissioni dalla procedura di gara, provvedendo altresì</w:t>
      </w:r>
      <w:r w:rsidR="005B2AEB">
        <w:rPr>
          <w:rFonts w:ascii="Titillium" w:hAnsi="Titillium" w:cs="Calibri"/>
          <w:sz w:val="18"/>
          <w:szCs w:val="18"/>
        </w:rPr>
        <w:t xml:space="preserve"> alla sua pubblicazione </w:t>
      </w:r>
      <w:r w:rsidR="00EE681D">
        <w:rPr>
          <w:rFonts w:ascii="Titillium" w:hAnsi="Titillium" w:cs="Calibri"/>
          <w:sz w:val="18"/>
          <w:szCs w:val="18"/>
        </w:rPr>
        <w:t>sul sito della stazione appaltante, nella sezione “Amministrazione trasparente</w:t>
      </w:r>
      <w:r w:rsidR="00585A99">
        <w:rPr>
          <w:rFonts w:ascii="Titillium" w:hAnsi="Titillium" w:cs="Calibri"/>
          <w:sz w:val="18"/>
          <w:szCs w:val="18"/>
        </w:rPr>
        <w:t xml:space="preserve">” </w:t>
      </w:r>
      <w:r w:rsidR="005B2AEB">
        <w:rPr>
          <w:rFonts w:ascii="Titillium" w:hAnsi="Titillium" w:cs="Calibri"/>
          <w:sz w:val="18"/>
          <w:szCs w:val="18"/>
        </w:rPr>
        <w:t>e all</w:t>
      </w:r>
      <w:r w:rsidR="00585A99">
        <w:rPr>
          <w:rFonts w:ascii="Titillium" w:hAnsi="Titillium" w:cs="Calibri"/>
          <w:sz w:val="18"/>
          <w:szCs w:val="18"/>
        </w:rPr>
        <w:t>a sua comunicazione immediata e comunque entro un termine non superiore a cinque giorni</w:t>
      </w:r>
      <w:r w:rsidR="004A4D58">
        <w:rPr>
          <w:rFonts w:ascii="Titillium" w:hAnsi="Titillium" w:cs="Calibri"/>
          <w:sz w:val="18"/>
          <w:szCs w:val="18"/>
        </w:rPr>
        <w:t>.</w:t>
      </w:r>
    </w:p>
    <w:p w14:paraId="4E3E954A" w14:textId="31660080" w:rsidR="004C53A8" w:rsidRDefault="004965EA">
      <w:pPr>
        <w:spacing w:before="60" w:after="60"/>
        <w:rPr>
          <w:rFonts w:ascii="Titillium" w:hAnsi="Titillium" w:cs="Calibri"/>
          <w:sz w:val="18"/>
          <w:szCs w:val="18"/>
        </w:rPr>
      </w:pPr>
      <w:r>
        <w:rPr>
          <w:rFonts w:ascii="Titillium" w:hAnsi="Titillium" w:cs="Calibri"/>
          <w:sz w:val="18"/>
          <w:szCs w:val="18"/>
        </w:rPr>
        <w:t>È fatta salva la possibilità</w:t>
      </w:r>
      <w:r w:rsidR="00870286">
        <w:rPr>
          <w:rFonts w:ascii="Titillium" w:hAnsi="Titillium" w:cs="Calibri"/>
          <w:sz w:val="18"/>
          <w:szCs w:val="18"/>
        </w:rPr>
        <w:t xml:space="preserve"> di chiedere agli offerenti, in qualsiasi momento nel corso della procedura, di presentare tutti i documenti complementari o parte di essi, qualora questo sia necessario per assicurare il corretto svolgimento della procedura. </w:t>
      </w:r>
    </w:p>
    <w:p w14:paraId="72CEAB25" w14:textId="2622AC88" w:rsidR="00603D8D" w:rsidRDefault="001E2C1D">
      <w:pPr>
        <w:spacing w:before="60" w:after="60"/>
        <w:rPr>
          <w:rFonts w:ascii="Titillium" w:hAnsi="Titillium" w:cs="Calibri"/>
          <w:sz w:val="18"/>
          <w:szCs w:val="18"/>
        </w:rPr>
      </w:pPr>
      <w:r w:rsidRPr="001E2C1D">
        <w:rPr>
          <w:rFonts w:ascii="Titillium" w:hAnsi="Titillium" w:cs="Calibri"/>
          <w:sz w:val="18"/>
          <w:szCs w:val="18"/>
        </w:rPr>
        <w:t>L</w:t>
      </w:r>
      <w:r w:rsidR="00775FBF" w:rsidRPr="001E2C1D">
        <w:rPr>
          <w:rFonts w:ascii="Titillium" w:hAnsi="Titillium" w:cs="Calibri"/>
          <w:sz w:val="18"/>
          <w:szCs w:val="18"/>
        </w:rPr>
        <w:t xml:space="preserve">a </w:t>
      </w:r>
      <w:r w:rsidR="00775FBF">
        <w:rPr>
          <w:rFonts w:ascii="Titillium" w:hAnsi="Titillium" w:cs="Calibri"/>
          <w:sz w:val="18"/>
          <w:szCs w:val="18"/>
        </w:rPr>
        <w:t>prosecuzione della procedura</w:t>
      </w:r>
      <w:r>
        <w:rPr>
          <w:rFonts w:ascii="Titillium" w:hAnsi="Titillium" w:cs="Calibri"/>
          <w:sz w:val="18"/>
          <w:szCs w:val="18"/>
        </w:rPr>
        <w:t xml:space="preserve"> è limitata</w:t>
      </w:r>
      <w:r w:rsidR="00775FBF">
        <w:rPr>
          <w:rFonts w:ascii="Titillium" w:hAnsi="Titillium" w:cs="Calibri"/>
          <w:sz w:val="18"/>
          <w:szCs w:val="18"/>
        </w:rPr>
        <w:t xml:space="preserve"> ai soli concorrenti ammessi.</w:t>
      </w:r>
    </w:p>
    <w:p w14:paraId="51F225E0" w14:textId="77777777" w:rsidR="004C53A8" w:rsidRDefault="004C53A8">
      <w:pPr>
        <w:spacing w:before="60" w:after="60"/>
        <w:rPr>
          <w:rFonts w:ascii="Titillium" w:hAnsi="Titillium"/>
          <w:szCs w:val="24"/>
        </w:rPr>
      </w:pPr>
    </w:p>
    <w:p w14:paraId="51A3F517" w14:textId="77777777" w:rsidR="004C53A8" w:rsidRDefault="00870286">
      <w:pPr>
        <w:pStyle w:val="Titolo2"/>
        <w:numPr>
          <w:ilvl w:val="0"/>
          <w:numId w:val="4"/>
        </w:numPr>
        <w:spacing w:before="60" w:after="60"/>
        <w:ind w:left="357" w:hanging="357"/>
        <w:rPr>
          <w:rFonts w:ascii="Titillium" w:hAnsi="Titillium"/>
          <w:sz w:val="18"/>
          <w:szCs w:val="18"/>
          <w:lang w:val="it-IT"/>
        </w:rPr>
      </w:pPr>
      <w:bookmarkStart w:id="2071" w:name="_Toc95495917"/>
      <w:r>
        <w:rPr>
          <w:rFonts w:ascii="Titillium" w:hAnsi="Titillium"/>
          <w:sz w:val="18"/>
          <w:szCs w:val="18"/>
          <w:lang w:val="it-IT"/>
        </w:rPr>
        <w:t>VALUTAZIONE DELLE OFFERTE TECNICHE ED ECONOMICHE</w:t>
      </w:r>
      <w:bookmarkEnd w:id="2071"/>
    </w:p>
    <w:p w14:paraId="19FE50B8" w14:textId="669A5DBF" w:rsidR="004C53A8" w:rsidRDefault="00870286">
      <w:pPr>
        <w:spacing w:before="60" w:after="60"/>
      </w:pPr>
      <w:r>
        <w:rPr>
          <w:rFonts w:ascii="Titillium" w:eastAsia="SimSun" w:hAnsi="Titillium" w:cs="Calibri"/>
          <w:b/>
          <w:i/>
          <w:sz w:val="18"/>
          <w:szCs w:val="18"/>
        </w:rPr>
        <w:t>[In caso di inversione procedimentale l’articolo assume la numerazione 2</w:t>
      </w:r>
      <w:r w:rsidR="00B64CC9">
        <w:rPr>
          <w:rFonts w:ascii="Titillium" w:eastAsia="SimSun" w:hAnsi="Titillium" w:cs="Calibri"/>
          <w:b/>
          <w:i/>
          <w:sz w:val="18"/>
          <w:szCs w:val="18"/>
        </w:rPr>
        <w:t>0</w:t>
      </w:r>
      <w:r>
        <w:rPr>
          <w:rFonts w:ascii="Titillium" w:eastAsia="SimSun" w:hAnsi="Titillium"/>
          <w:b/>
          <w:bCs/>
          <w:i/>
          <w:sz w:val="18"/>
          <w:szCs w:val="18"/>
        </w:rPr>
        <w:t>]</w:t>
      </w:r>
    </w:p>
    <w:p w14:paraId="0C7DA990" w14:textId="7A90E25E" w:rsidR="00775FBF" w:rsidRDefault="00775FBF">
      <w:pPr>
        <w:spacing w:before="60" w:after="60"/>
        <w:rPr>
          <w:rFonts w:ascii="Titillium" w:hAnsi="Titillium" w:cs="Calibri"/>
          <w:sz w:val="18"/>
          <w:szCs w:val="18"/>
        </w:rPr>
      </w:pPr>
      <w:r>
        <w:rPr>
          <w:rFonts w:ascii="Titillium" w:hAnsi="Titillium" w:cs="Calibri"/>
          <w:sz w:val="18"/>
          <w:szCs w:val="18"/>
        </w:rPr>
        <w:t xml:space="preserve">La data e l’ora della seduta pubblica in cui si procede all’apertura delle offerte tecniche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i/>
          <w:sz w:val="18"/>
          <w:szCs w:val="18"/>
        </w:rPr>
        <w:t xml:space="preserve"> </w:t>
      </w:r>
      <w:r>
        <w:rPr>
          <w:rFonts w:ascii="Titillium" w:hAnsi="Titillium" w:cs="Calibri"/>
          <w:sz w:val="18"/>
          <w:szCs w:val="18"/>
        </w:rPr>
        <w:t>sono comunicate tramite la Piattaforma ai concorrenti ammessi</w:t>
      </w:r>
      <w:r w:rsidR="005A0708">
        <w:rPr>
          <w:rFonts w:ascii="Titillium" w:hAnsi="Titillium" w:cs="Calibri"/>
          <w:sz w:val="18"/>
          <w:szCs w:val="18"/>
        </w:rPr>
        <w:t xml:space="preserve"> ai sen</w:t>
      </w:r>
      <w:r w:rsidR="001E2C1D">
        <w:rPr>
          <w:rFonts w:ascii="Titillium" w:hAnsi="Titillium" w:cs="Calibri"/>
          <w:sz w:val="18"/>
          <w:szCs w:val="18"/>
        </w:rPr>
        <w:t>s</w:t>
      </w:r>
      <w:r w:rsidR="005A0708">
        <w:rPr>
          <w:rFonts w:ascii="Titillium" w:hAnsi="Titillium" w:cs="Calibri"/>
          <w:sz w:val="18"/>
          <w:szCs w:val="18"/>
        </w:rPr>
        <w:t>i dell’articolo 20</w:t>
      </w:r>
      <w:r>
        <w:rPr>
          <w:rFonts w:ascii="Titillium" w:hAnsi="Titillium" w:cs="Calibri"/>
          <w:sz w:val="18"/>
          <w:szCs w:val="18"/>
        </w:rPr>
        <w:t>.</w:t>
      </w:r>
    </w:p>
    <w:p w14:paraId="4EB883FE" w14:textId="7E02CA0F" w:rsidR="004C53A8" w:rsidRDefault="00870286">
      <w:pPr>
        <w:spacing w:before="60" w:after="60"/>
        <w:rPr>
          <w:rFonts w:ascii="Titillium" w:hAnsi="Titillium" w:cs="Calibri"/>
          <w:sz w:val="18"/>
          <w:szCs w:val="18"/>
        </w:rPr>
      </w:pPr>
      <w:r>
        <w:rPr>
          <w:rFonts w:ascii="Titillium" w:hAnsi="Titillium" w:cs="Calibri"/>
          <w:sz w:val="18"/>
          <w:szCs w:val="18"/>
        </w:rPr>
        <w:t>La commissione giudicatrice procede</w:t>
      </w:r>
      <w:r w:rsidR="004965EA">
        <w:rPr>
          <w:rFonts w:ascii="Titillium" w:hAnsi="Titillium" w:cs="Calibri"/>
          <w:sz w:val="18"/>
          <w:szCs w:val="18"/>
        </w:rPr>
        <w:t xml:space="preserv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Pr>
          <w:rFonts w:ascii="Titillium" w:hAnsi="Titillium" w:cs="Calibri"/>
          <w:sz w:val="18"/>
          <w:szCs w:val="18"/>
        </w:rPr>
        <w:t>all</w:t>
      </w:r>
      <w:r w:rsidR="006D2A5E">
        <w:rPr>
          <w:rFonts w:ascii="Titillium" w:hAnsi="Titillium" w:cs="Calibri"/>
          <w:sz w:val="18"/>
          <w:szCs w:val="18"/>
        </w:rPr>
        <w:t>’</w:t>
      </w:r>
      <w:r w:rsidR="005A0708">
        <w:rPr>
          <w:rFonts w:ascii="Titillium" w:hAnsi="Titillium" w:cs="Calibri"/>
          <w:sz w:val="18"/>
          <w:szCs w:val="18"/>
        </w:rPr>
        <w:t>a</w:t>
      </w:r>
      <w:r w:rsidR="006D2A5E">
        <w:rPr>
          <w:rFonts w:ascii="Titillium" w:hAnsi="Titillium" w:cs="Calibri"/>
          <w:sz w:val="18"/>
          <w:szCs w:val="18"/>
        </w:rPr>
        <w:t>pertura,</w:t>
      </w:r>
      <w:r w:rsidR="005A0708">
        <w:rPr>
          <w:rFonts w:ascii="Titillium" w:hAnsi="Titillium" w:cs="Calibri"/>
          <w:sz w:val="18"/>
          <w:szCs w:val="18"/>
        </w:rPr>
        <w:t xml:space="preserve"> </w:t>
      </w:r>
      <w:r w:rsidR="006D2A5E">
        <w:rPr>
          <w:rFonts w:ascii="Titillium" w:hAnsi="Titillium" w:cs="Calibri"/>
          <w:sz w:val="18"/>
          <w:szCs w:val="18"/>
        </w:rPr>
        <w:t>esame</w:t>
      </w:r>
      <w:r w:rsidR="005A0708">
        <w:rPr>
          <w:rFonts w:ascii="Titillium" w:hAnsi="Titillium" w:cs="Calibri"/>
          <w:sz w:val="18"/>
          <w:szCs w:val="18"/>
        </w:rPr>
        <w:t xml:space="preserve"> e valutazione delle offerte presentate dai predetti concorrenti </w:t>
      </w:r>
      <w:r>
        <w:rPr>
          <w:rFonts w:ascii="Titillium" w:hAnsi="Titillium" w:cs="Calibri"/>
          <w:sz w:val="18"/>
          <w:szCs w:val="18"/>
        </w:rPr>
        <w:t>e all’assegnazione dei relativi punteggi applicando i criteri e le formule indicati nel bando e nel presente disciplinare.</w:t>
      </w:r>
      <w:r w:rsidR="004965EA">
        <w:rPr>
          <w:rFonts w:ascii="Titillium" w:hAnsi="Titillium" w:cs="Calibri"/>
          <w:sz w:val="18"/>
          <w:szCs w:val="18"/>
        </w:rPr>
        <w:t xml:space="preserve"> </w:t>
      </w:r>
      <w:r w:rsidR="005A0708">
        <w:rPr>
          <w:rFonts w:ascii="Titillium" w:hAnsi="Titillium" w:cs="Calibri"/>
          <w:sz w:val="18"/>
          <w:szCs w:val="18"/>
        </w:rPr>
        <w:t>G</w:t>
      </w:r>
      <w:r w:rsidR="004965EA">
        <w:rPr>
          <w:rFonts w:ascii="Titillium" w:hAnsi="Titillium" w:cs="Calibri"/>
          <w:sz w:val="18"/>
          <w:szCs w:val="18"/>
        </w:rPr>
        <w:t>li esiti d</w:t>
      </w:r>
      <w:r w:rsidR="005A0708">
        <w:rPr>
          <w:rFonts w:ascii="Titillium" w:hAnsi="Titillium" w:cs="Calibri"/>
          <w:sz w:val="18"/>
          <w:szCs w:val="18"/>
        </w:rPr>
        <w:t>ella valutazione sono registrati dalla Piattaforma</w:t>
      </w:r>
      <w:r w:rsidR="004965EA">
        <w:rPr>
          <w:rFonts w:ascii="Titillium" w:hAnsi="Titillium" w:cs="Calibri"/>
          <w:sz w:val="18"/>
          <w:szCs w:val="18"/>
        </w:rPr>
        <w:t>.</w:t>
      </w:r>
    </w:p>
    <w:p w14:paraId="43D0A819" w14:textId="77777777" w:rsidR="005A0708" w:rsidRPr="006D2A5E" w:rsidRDefault="005A0708" w:rsidP="005A0708">
      <w:pPr>
        <w:spacing w:before="60" w:after="60"/>
        <w:rPr>
          <w:rFonts w:ascii="Titillium" w:hAnsi="Titillium" w:cs="Calibri"/>
          <w:b/>
          <w:i/>
          <w:sz w:val="18"/>
          <w:szCs w:val="18"/>
        </w:rPr>
      </w:pPr>
      <w:r w:rsidRPr="006D2A5E">
        <w:rPr>
          <w:rFonts w:ascii="Titillium" w:hAnsi="Titillium" w:cs="Calibri"/>
          <w:b/>
          <w:i/>
          <w:sz w:val="18"/>
          <w:szCs w:val="18"/>
        </w:rPr>
        <w:t>[In alternativa in caso di inversione procedimentale]</w:t>
      </w:r>
    </w:p>
    <w:p w14:paraId="12874442" w14:textId="50F7973D" w:rsidR="005A0708" w:rsidRPr="005A0708" w:rsidRDefault="005A0708" w:rsidP="005A0708">
      <w:pPr>
        <w:spacing w:before="60" w:after="60"/>
        <w:rPr>
          <w:rFonts w:ascii="Titillium" w:hAnsi="Titillium" w:cs="Calibri"/>
          <w:sz w:val="18"/>
          <w:szCs w:val="18"/>
        </w:rPr>
      </w:pPr>
      <w:r w:rsidRPr="00775FBF">
        <w:rPr>
          <w:rFonts w:ascii="Titillium" w:hAnsi="Titillium" w:cs="Calibri"/>
          <w:sz w:val="18"/>
          <w:szCs w:val="18"/>
        </w:rPr>
        <w:t xml:space="preserve">La data e l’ora della seduta pubblica in cui si procede all’apertura delle offerte tecniche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Pr="00775FBF">
        <w:rPr>
          <w:rFonts w:ascii="Titillium" w:hAnsi="Titillium" w:cs="Calibri"/>
          <w:sz w:val="18"/>
          <w:szCs w:val="18"/>
        </w:rPr>
        <w:t>sono comunicate tramite la Piattaforma ai concorrenti</w:t>
      </w:r>
      <w:r>
        <w:rPr>
          <w:rFonts w:ascii="Titillium" w:hAnsi="Titillium" w:cs="Calibri"/>
          <w:sz w:val="18"/>
          <w:szCs w:val="18"/>
        </w:rPr>
        <w:t xml:space="preserve"> che hanno presentato la domanda di partecipazione nei termini previsti dal bando di gara</w:t>
      </w:r>
      <w:r w:rsidRPr="00775FBF">
        <w:rPr>
          <w:rFonts w:ascii="Titillium" w:hAnsi="Titillium" w:cs="Calibri"/>
          <w:sz w:val="18"/>
          <w:szCs w:val="18"/>
        </w:rPr>
        <w:t>.</w:t>
      </w:r>
      <w:r>
        <w:rPr>
          <w:rFonts w:ascii="Titillium" w:hAnsi="Titillium" w:cs="Calibri"/>
          <w:sz w:val="18"/>
          <w:szCs w:val="18"/>
        </w:rPr>
        <w:t xml:space="preserve"> </w:t>
      </w:r>
    </w:p>
    <w:p w14:paraId="36CD960F" w14:textId="7E0E74FD" w:rsidR="005A0708" w:rsidRDefault="005A0708" w:rsidP="005A0708">
      <w:pPr>
        <w:spacing w:before="60" w:after="60"/>
        <w:rPr>
          <w:rFonts w:ascii="Titillium" w:hAnsi="Titillium" w:cs="Calibri"/>
          <w:sz w:val="18"/>
          <w:szCs w:val="18"/>
        </w:rPr>
      </w:pPr>
      <w:r w:rsidRPr="005A0708">
        <w:rPr>
          <w:rFonts w:ascii="Titillium" w:hAnsi="Titillium" w:cs="Calibri"/>
          <w:sz w:val="18"/>
          <w:szCs w:val="18"/>
        </w:rPr>
        <w:t xml:space="preserve">La commissione giudicatrice procede </w:t>
      </w:r>
      <w:r w:rsidR="006D2A5E" w:rsidRPr="003762B8">
        <w:rPr>
          <w:rFonts w:ascii="Titillium" w:hAnsi="Titillium" w:cs="Calibri"/>
          <w:i/>
          <w:sz w:val="18"/>
          <w:szCs w:val="18"/>
        </w:rPr>
        <w:t>[</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Pr="005A0708">
        <w:rPr>
          <w:rFonts w:ascii="Titillium" w:hAnsi="Titillium" w:cs="Calibri"/>
          <w:sz w:val="18"/>
          <w:szCs w:val="18"/>
        </w:rPr>
        <w:t>all’</w:t>
      </w:r>
      <w:r w:rsidR="006D2A5E">
        <w:rPr>
          <w:rFonts w:ascii="Titillium" w:hAnsi="Titillium" w:cs="Calibri"/>
          <w:sz w:val="18"/>
          <w:szCs w:val="18"/>
        </w:rPr>
        <w:t xml:space="preserve">apertura </w:t>
      </w:r>
      <w:r w:rsidRPr="005A0708">
        <w:rPr>
          <w:rFonts w:ascii="Titillium" w:hAnsi="Titillium" w:cs="Calibri"/>
          <w:sz w:val="18"/>
          <w:szCs w:val="18"/>
        </w:rPr>
        <w:t>esame ed alla valutazione delle offerte tecniche e all’assegnazione dei relativi punteggi applicando i criteri e le formule indicati nel bando e nel presente disciplinare. Gli esiti della valutazione sono registrati dalla Piattaforma</w:t>
      </w:r>
      <w:r>
        <w:rPr>
          <w:rFonts w:ascii="Titillium" w:hAnsi="Titillium" w:cs="Calibri"/>
          <w:sz w:val="18"/>
          <w:szCs w:val="18"/>
        </w:rPr>
        <w:t>.</w:t>
      </w:r>
    </w:p>
    <w:p w14:paraId="17AC871C" w14:textId="2FD51773" w:rsidR="004C53A8" w:rsidRDefault="006D2A5E">
      <w:pPr>
        <w:spacing w:before="60" w:after="60"/>
        <w:rPr>
          <w:rFonts w:ascii="Titillium" w:hAnsi="Titillium" w:cs="Calibri"/>
          <w:sz w:val="18"/>
          <w:szCs w:val="18"/>
        </w:rPr>
      </w:pPr>
      <w:r w:rsidDel="005A0708">
        <w:rPr>
          <w:rFonts w:ascii="Titillium" w:hAnsi="Titillium" w:cs="Calibri"/>
          <w:sz w:val="18"/>
          <w:szCs w:val="18"/>
        </w:rPr>
        <w:t xml:space="preserve"> </w:t>
      </w:r>
      <w:r w:rsidR="00870286">
        <w:rPr>
          <w:rFonts w:ascii="Titillium" w:hAnsi="Titillium" w:cs="Calibri"/>
          <w:b/>
          <w:i/>
          <w:sz w:val="18"/>
          <w:szCs w:val="18"/>
        </w:rPr>
        <w:t>[</w:t>
      </w:r>
      <w:r w:rsidR="00870286">
        <w:rPr>
          <w:rFonts w:ascii="Titillium" w:hAnsi="Titillium"/>
          <w:b/>
          <w:i/>
          <w:sz w:val="18"/>
          <w:szCs w:val="18"/>
        </w:rPr>
        <w:t xml:space="preserve">Facoltativo: </w:t>
      </w:r>
      <w:r w:rsidR="00870286">
        <w:rPr>
          <w:rFonts w:ascii="Titillium" w:hAnsi="Titillium" w:cs="Calibri"/>
          <w:b/>
          <w:i/>
          <w:sz w:val="18"/>
          <w:szCs w:val="18"/>
        </w:rPr>
        <w:t xml:space="preserve">in caso riparametrazione] </w:t>
      </w:r>
      <w:r w:rsidR="00870286">
        <w:rPr>
          <w:rFonts w:ascii="Titillium" w:hAnsi="Titillium" w:cs="Calibri"/>
          <w:sz w:val="18"/>
          <w:szCs w:val="18"/>
        </w:rPr>
        <w:t>La commissione procede alla riparametrazione dei punteggi secondo quanto indicato al punto 1</w:t>
      </w:r>
      <w:r w:rsidR="00DB50FD">
        <w:rPr>
          <w:rFonts w:ascii="Titillium" w:hAnsi="Titillium" w:cs="Calibri"/>
          <w:sz w:val="18"/>
          <w:szCs w:val="18"/>
        </w:rPr>
        <w:t>7</w:t>
      </w:r>
      <w:r w:rsidR="00870286">
        <w:rPr>
          <w:rFonts w:ascii="Titillium" w:hAnsi="Titillium" w:cs="Calibri"/>
          <w:sz w:val="18"/>
          <w:szCs w:val="18"/>
        </w:rPr>
        <w:t>.4.</w:t>
      </w:r>
    </w:p>
    <w:p w14:paraId="50C7FCDC" w14:textId="217DB599" w:rsidR="004C53A8" w:rsidRDefault="00870286">
      <w:pPr>
        <w:rPr>
          <w:rFonts w:ascii="Titillium" w:hAnsi="Titillium"/>
          <w:sz w:val="20"/>
          <w:szCs w:val="20"/>
        </w:rPr>
      </w:pPr>
      <w:r>
        <w:rPr>
          <w:rFonts w:ascii="Titillium" w:hAnsi="Titillium" w:cs="Calibri"/>
          <w:sz w:val="18"/>
          <w:szCs w:val="18"/>
        </w:rPr>
        <w:t xml:space="preserve">La commissione </w:t>
      </w:r>
      <w:r w:rsidR="006D2A5E">
        <w:rPr>
          <w:rFonts w:ascii="Titillium" w:hAnsi="Titillium" w:cs="Calibri"/>
          <w:sz w:val="18"/>
          <w:szCs w:val="18"/>
        </w:rPr>
        <w:t xml:space="preserve">giudicatrice </w:t>
      </w:r>
      <w:r>
        <w:rPr>
          <w:rFonts w:ascii="Titillium" w:hAnsi="Titillium" w:cs="Calibri"/>
          <w:sz w:val="18"/>
          <w:szCs w:val="18"/>
        </w:rPr>
        <w:t>rende visibile ai concorrenti</w:t>
      </w:r>
      <w:r w:rsidR="004965EA">
        <w:rPr>
          <w:rFonts w:ascii="Titillium" w:hAnsi="Titillium" w:cs="Calibri"/>
          <w:sz w:val="18"/>
          <w:szCs w:val="18"/>
        </w:rPr>
        <w:t>, con le modalità di cui al</w:t>
      </w:r>
      <w:r w:rsidR="005B2AEB">
        <w:rPr>
          <w:rFonts w:ascii="Titillium" w:hAnsi="Titillium" w:cs="Calibri"/>
          <w:sz w:val="18"/>
          <w:szCs w:val="18"/>
        </w:rPr>
        <w:t>l’ar</w:t>
      </w:r>
      <w:r w:rsidR="009519DD">
        <w:rPr>
          <w:rFonts w:ascii="Titillium" w:hAnsi="Titillium" w:cs="Calibri"/>
          <w:sz w:val="18"/>
          <w:szCs w:val="18"/>
        </w:rPr>
        <w:t>t</w:t>
      </w:r>
      <w:r w:rsidR="005B2AEB">
        <w:rPr>
          <w:rFonts w:ascii="Titillium" w:hAnsi="Titillium" w:cs="Calibri"/>
          <w:sz w:val="18"/>
          <w:szCs w:val="18"/>
        </w:rPr>
        <w:t>icolo</w:t>
      </w:r>
      <w:r w:rsidR="004965EA">
        <w:rPr>
          <w:rFonts w:ascii="Titillium" w:hAnsi="Titillium" w:cs="Calibri"/>
          <w:sz w:val="18"/>
          <w:szCs w:val="18"/>
        </w:rPr>
        <w:t xml:space="preserve"> 19</w:t>
      </w:r>
      <w:r>
        <w:rPr>
          <w:rFonts w:ascii="Titillium" w:hAnsi="Titillium" w:cs="Calibri"/>
          <w:sz w:val="18"/>
          <w:szCs w:val="18"/>
        </w:rPr>
        <w:t xml:space="preserve">: </w:t>
      </w:r>
    </w:p>
    <w:p w14:paraId="233C6CE6" w14:textId="77777777" w:rsidR="004C53A8" w:rsidRDefault="00870286">
      <w:pPr>
        <w:rPr>
          <w:rFonts w:ascii="Titillium" w:hAnsi="Titillium"/>
          <w:sz w:val="20"/>
          <w:szCs w:val="20"/>
        </w:rPr>
      </w:pPr>
      <w:r>
        <w:rPr>
          <w:rFonts w:ascii="Titillium" w:hAnsi="Titillium" w:cs="Calibri"/>
          <w:sz w:val="18"/>
          <w:szCs w:val="18"/>
        </w:rPr>
        <w:t>a) i punteggi tecnici attribuiti alle singole offerte tecniche;</w:t>
      </w:r>
    </w:p>
    <w:p w14:paraId="59A25897" w14:textId="77777777" w:rsidR="006D2A5E" w:rsidRDefault="00870286">
      <w:pPr>
        <w:rPr>
          <w:rFonts w:ascii="Titillium" w:hAnsi="Titillium" w:cs="Calibri"/>
          <w:sz w:val="18"/>
          <w:szCs w:val="18"/>
        </w:rPr>
      </w:pPr>
      <w:r>
        <w:rPr>
          <w:rFonts w:ascii="Titillium" w:hAnsi="Titillium" w:cs="Calibri"/>
          <w:sz w:val="18"/>
          <w:szCs w:val="18"/>
        </w:rPr>
        <w:t>b) le eventuali esclusioni dalla gara dei concorrenti</w:t>
      </w:r>
      <w:r w:rsidR="006D2A5E">
        <w:rPr>
          <w:rFonts w:ascii="Titillium" w:hAnsi="Titillium" w:cs="Calibri"/>
          <w:sz w:val="18"/>
          <w:szCs w:val="18"/>
        </w:rPr>
        <w:t>.</w:t>
      </w:r>
    </w:p>
    <w:p w14:paraId="602A7963" w14:textId="0A482E52" w:rsidR="004C53A8" w:rsidRDefault="009B0C28">
      <w:pPr>
        <w:rPr>
          <w:rFonts w:ascii="Titillium" w:hAnsi="Titillium"/>
          <w:sz w:val="20"/>
          <w:szCs w:val="20"/>
        </w:rPr>
      </w:pPr>
      <w:r>
        <w:rPr>
          <w:rFonts w:ascii="Titillium" w:hAnsi="Titillium" w:cs="Calibri"/>
          <w:sz w:val="18"/>
          <w:szCs w:val="18"/>
        </w:rPr>
        <w:t>Al termine delle operazioni di cui sopra la Piattaforma consente la prosecuzione della procedura ai soli concorrenti ammessi alla valutazione delle offerte economiche.</w:t>
      </w:r>
      <w:r w:rsidR="00870286">
        <w:rPr>
          <w:rFonts w:ascii="Titillium" w:hAnsi="Titillium" w:cs="Calibri"/>
          <w:sz w:val="18"/>
          <w:szCs w:val="18"/>
        </w:rPr>
        <w:t xml:space="preserve"> </w:t>
      </w:r>
    </w:p>
    <w:p w14:paraId="61953F7D" w14:textId="6578F1CC" w:rsidR="004C53A8" w:rsidRDefault="00A65180" w:rsidP="008F6C85">
      <w:pPr>
        <w:rPr>
          <w:rFonts w:ascii="Titillium" w:hAnsi="Titillium"/>
          <w:sz w:val="18"/>
          <w:szCs w:val="18"/>
        </w:rPr>
      </w:pPr>
      <w:r>
        <w:rPr>
          <w:rFonts w:ascii="Titillium" w:hAnsi="Titillium" w:cs="Calibri"/>
          <w:sz w:val="18"/>
          <w:szCs w:val="18"/>
        </w:rPr>
        <w:t>La</w:t>
      </w:r>
      <w:r w:rsidR="00870286">
        <w:rPr>
          <w:rFonts w:ascii="Titillium" w:hAnsi="Titillium" w:cs="Calibri"/>
          <w:sz w:val="18"/>
          <w:szCs w:val="18"/>
        </w:rPr>
        <w:t xml:space="preserve"> commissione </w:t>
      </w:r>
      <w:r w:rsidR="009B0C28">
        <w:rPr>
          <w:rFonts w:ascii="Titillium" w:hAnsi="Titillium" w:cs="Calibri"/>
          <w:sz w:val="18"/>
          <w:szCs w:val="18"/>
        </w:rPr>
        <w:t xml:space="preserve">giudicatrice </w:t>
      </w:r>
      <w:r w:rsidR="00870286">
        <w:rPr>
          <w:rFonts w:ascii="Titillium" w:hAnsi="Titillium" w:cs="Calibri"/>
          <w:sz w:val="18"/>
          <w:szCs w:val="18"/>
        </w:rPr>
        <w:t>procede</w:t>
      </w:r>
      <w:r w:rsidR="009B0C28" w:rsidRPr="009B0C28">
        <w:rPr>
          <w:rFonts w:ascii="Titillium" w:hAnsi="Titillium" w:cs="Calibri"/>
          <w:sz w:val="18"/>
          <w:szCs w:val="18"/>
        </w:rPr>
        <w:t xml:space="preserve"> </w:t>
      </w:r>
      <w:r w:rsidR="009B0C28" w:rsidRPr="008F6C85">
        <w:rPr>
          <w:rFonts w:ascii="Titillium" w:hAnsi="Titillium" w:cs="Calibri"/>
          <w:i/>
          <w:sz w:val="18"/>
          <w:szCs w:val="18"/>
        </w:rPr>
        <w:t>[nel caso di gara a più lotti: relativamente a ciascun singolo lotto]</w:t>
      </w:r>
      <w:r w:rsidR="009B0C28" w:rsidRPr="009B0C28">
        <w:rPr>
          <w:rFonts w:ascii="Titillium" w:hAnsi="Titillium" w:cs="Calibri"/>
          <w:sz w:val="18"/>
          <w:szCs w:val="18"/>
        </w:rPr>
        <w:t xml:space="preserve"> all’apertura delle offerte economiche</w:t>
      </w:r>
      <w:r w:rsidR="009B0C28">
        <w:rPr>
          <w:rFonts w:ascii="Titillium" w:hAnsi="Titillium" w:cs="Calibri"/>
          <w:sz w:val="18"/>
          <w:szCs w:val="18"/>
        </w:rPr>
        <w:t xml:space="preserve"> e, </w:t>
      </w:r>
      <w:r>
        <w:rPr>
          <w:rFonts w:ascii="Titillium" w:hAnsi="Titillium" w:cs="Calibri"/>
          <w:sz w:val="18"/>
          <w:szCs w:val="18"/>
        </w:rPr>
        <w:t>quindi,</w:t>
      </w:r>
      <w:r w:rsidR="00870286">
        <w:rPr>
          <w:rFonts w:ascii="Titillium" w:hAnsi="Titillium" w:cs="Calibri"/>
          <w:sz w:val="18"/>
          <w:szCs w:val="18"/>
        </w:rPr>
        <w:t xml:space="preserve"> alla valutazione delle </w:t>
      </w:r>
      <w:r w:rsidR="00870286">
        <w:rPr>
          <w:rFonts w:ascii="Titilium" w:hAnsi="Titilium" w:cs="Calibri"/>
          <w:sz w:val="18"/>
          <w:szCs w:val="18"/>
        </w:rPr>
        <w:t>of</w:t>
      </w:r>
      <w:r w:rsidR="00870286">
        <w:rPr>
          <w:rFonts w:ascii="Titillium" w:hAnsi="Titillium" w:cs="Calibri"/>
          <w:sz w:val="18"/>
          <w:szCs w:val="18"/>
        </w:rPr>
        <w:t xml:space="preserve">ferte economiche, secondo i criteri e le modalità descritte al punto </w:t>
      </w:r>
      <w:r w:rsidR="00870286">
        <w:rPr>
          <w:rFonts w:ascii="Titillium" w:hAnsi="Titillium" w:cs="Calibri"/>
          <w:sz w:val="18"/>
          <w:szCs w:val="18"/>
        </w:rPr>
        <w:fldChar w:fldCharType="begin"/>
      </w:r>
      <w:r w:rsidR="00870286">
        <w:rPr>
          <w:rFonts w:ascii="Titillium" w:hAnsi="Titillium" w:cs="Calibri"/>
          <w:sz w:val="18"/>
          <w:szCs w:val="18"/>
        </w:rPr>
        <w:instrText>REF _Ref498421982 \r \h</w:instrText>
      </w:r>
      <w:r w:rsidR="00870286">
        <w:rPr>
          <w:rFonts w:ascii="Titillium" w:hAnsi="Titillium" w:cs="Calibri"/>
          <w:sz w:val="18"/>
          <w:szCs w:val="18"/>
        </w:rPr>
      </w:r>
      <w:r w:rsidR="00870286">
        <w:rPr>
          <w:rFonts w:ascii="Titillium" w:hAnsi="Titillium" w:cs="Calibri"/>
          <w:sz w:val="18"/>
          <w:szCs w:val="18"/>
        </w:rPr>
        <w:fldChar w:fldCharType="separate"/>
      </w:r>
      <w:r w:rsidR="006F0CBC">
        <w:rPr>
          <w:rFonts w:ascii="Titillium" w:hAnsi="Titillium" w:cs="Calibri"/>
          <w:sz w:val="18"/>
          <w:szCs w:val="18"/>
        </w:rPr>
        <w:t>17</w:t>
      </w:r>
      <w:r w:rsidR="00870286">
        <w:rPr>
          <w:rFonts w:ascii="Titillium" w:hAnsi="Titillium" w:cs="Calibri"/>
          <w:sz w:val="18"/>
          <w:szCs w:val="18"/>
        </w:rPr>
        <w:fldChar w:fldCharType="end"/>
      </w:r>
      <w:r w:rsidR="007C2CBB">
        <w:rPr>
          <w:rFonts w:ascii="Titillium" w:hAnsi="Titillium" w:cs="Calibri"/>
          <w:sz w:val="18"/>
          <w:szCs w:val="18"/>
        </w:rPr>
        <w:t xml:space="preserve"> e successivamente </w:t>
      </w:r>
      <w:r w:rsidR="00870286">
        <w:rPr>
          <w:rFonts w:ascii="Titillium" w:hAnsi="Titillium"/>
          <w:sz w:val="18"/>
          <w:szCs w:val="18"/>
        </w:rPr>
        <w:t xml:space="preserve">all’individuazione dell’unico parametro numerico finale per la formulazione della graduatoria. </w:t>
      </w:r>
    </w:p>
    <w:p w14:paraId="35B17DDF" w14:textId="77777777" w:rsidR="004C53A8" w:rsidRDefault="00870286">
      <w:pPr>
        <w:spacing w:before="60" w:after="60"/>
      </w:pPr>
      <w:r>
        <w:rPr>
          <w:rFonts w:ascii="Titillium" w:hAnsi="Titillium" w:cs="Calibri"/>
          <w:sz w:val="18"/>
          <w:szCs w:val="18"/>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Pr>
          <w:rFonts w:ascii="Titillium" w:hAnsi="Titillium" w:cs="Calibri"/>
          <w:i/>
          <w:sz w:val="18"/>
          <w:szCs w:val="18"/>
        </w:rPr>
        <w:t>[</w:t>
      </w:r>
      <w:r>
        <w:rPr>
          <w:rFonts w:ascii="Titillium" w:hAnsi="Titillium"/>
          <w:i/>
          <w:sz w:val="18"/>
          <w:szCs w:val="18"/>
          <w:lang w:eastAsia="it-IT"/>
        </w:rPr>
        <w:t>scegliere tra prezzo</w:t>
      </w:r>
      <w:r>
        <w:rPr>
          <w:rFonts w:ascii="Titillium" w:hAnsi="Titillium"/>
          <w:sz w:val="18"/>
          <w:szCs w:val="18"/>
          <w:lang w:eastAsia="it-IT"/>
        </w:rPr>
        <w:t xml:space="preserve"> </w:t>
      </w:r>
      <w:r>
        <w:rPr>
          <w:rFonts w:ascii="Titillium" w:hAnsi="Titillium"/>
          <w:i/>
          <w:sz w:val="18"/>
          <w:szCs w:val="18"/>
          <w:lang w:eastAsia="it-IT"/>
        </w:rPr>
        <w:t>o offerta tecnica].</w:t>
      </w:r>
    </w:p>
    <w:p w14:paraId="75369738" w14:textId="64D5A0D3" w:rsidR="004C53A8" w:rsidRDefault="00870286">
      <w:pPr>
        <w:spacing w:before="60" w:after="60"/>
      </w:pPr>
      <w:r w:rsidRPr="00A65180">
        <w:rPr>
          <w:rFonts w:ascii="Titillium" w:hAnsi="Titillium" w:cs="Calibri"/>
          <w:sz w:val="18"/>
          <w:szCs w:val="18"/>
        </w:rPr>
        <w:t xml:space="preserve">Nel caso in cui le offerte di due o più concorrenti ottengano lo stesso punteggio complessivo e gli stessi punteggi parziali per il prezzo e per l’offerta tecnica, </w:t>
      </w:r>
      <w:r w:rsidR="00C25436" w:rsidRPr="00A65180">
        <w:rPr>
          <w:rFonts w:ascii="Titillium" w:hAnsi="Titillium" w:cs="Calibri"/>
          <w:sz w:val="18"/>
          <w:szCs w:val="18"/>
        </w:rPr>
        <w:t>i predetti concorrenti</w:t>
      </w:r>
      <w:r w:rsidR="00005305" w:rsidRPr="00A65180">
        <w:rPr>
          <w:rFonts w:ascii="Titillium" w:hAnsi="Titillium" w:cs="Calibri"/>
          <w:sz w:val="18"/>
          <w:szCs w:val="18"/>
        </w:rPr>
        <w:t>, su richiesta della stazione appaltante, presentano un’offerta migliorativa</w:t>
      </w:r>
      <w:r w:rsidR="00C25436" w:rsidRPr="00A65180">
        <w:rPr>
          <w:rFonts w:ascii="Titillium" w:hAnsi="Titillium" w:cs="Calibri"/>
          <w:sz w:val="18"/>
          <w:szCs w:val="18"/>
        </w:rPr>
        <w:t xml:space="preserve"> </w:t>
      </w:r>
      <w:r w:rsidR="00005305" w:rsidRPr="00A65180">
        <w:rPr>
          <w:rFonts w:ascii="Titillium" w:hAnsi="Titillium" w:cs="Calibri"/>
          <w:sz w:val="18"/>
          <w:szCs w:val="18"/>
        </w:rPr>
        <w:t xml:space="preserve">sul prezzo </w:t>
      </w:r>
      <w:r w:rsidR="00994C0B" w:rsidRPr="00A65180">
        <w:rPr>
          <w:rFonts w:ascii="Titillium" w:hAnsi="Titillium" w:cs="Calibri"/>
          <w:sz w:val="18"/>
          <w:szCs w:val="18"/>
        </w:rPr>
        <w:t>entro …</w:t>
      </w:r>
      <w:r w:rsidR="00005305" w:rsidRPr="00A65180">
        <w:rPr>
          <w:rFonts w:ascii="Titillium" w:hAnsi="Titillium" w:cs="Calibri"/>
          <w:sz w:val="18"/>
          <w:szCs w:val="18"/>
        </w:rPr>
        <w:t xml:space="preserve"> </w:t>
      </w:r>
      <w:r w:rsidR="00005305" w:rsidRPr="00A65180">
        <w:rPr>
          <w:rFonts w:ascii="Titillium" w:hAnsi="Titillium" w:cs="Calibri"/>
          <w:i/>
          <w:sz w:val="18"/>
          <w:szCs w:val="18"/>
        </w:rPr>
        <w:t>[indicare il termine perentorio di presentazione dell’offerta migliorativa]</w:t>
      </w:r>
      <w:r w:rsidR="00005305" w:rsidRPr="00A65180">
        <w:rPr>
          <w:rFonts w:ascii="Titillium" w:hAnsi="Titillium" w:cs="Calibri"/>
          <w:sz w:val="18"/>
          <w:szCs w:val="18"/>
        </w:rPr>
        <w:t xml:space="preserve">. </w:t>
      </w:r>
      <w:r w:rsidR="00C25436" w:rsidRPr="00A65180">
        <w:rPr>
          <w:rFonts w:ascii="Titillium" w:hAnsi="Titillium" w:cs="Calibri"/>
          <w:sz w:val="18"/>
          <w:szCs w:val="18"/>
        </w:rPr>
        <w:t xml:space="preserve">La richiesta è effettuata secondo le modalità previste all’articolo </w:t>
      </w:r>
      <w:r w:rsidR="00994C0B" w:rsidRPr="00A65180">
        <w:rPr>
          <w:rFonts w:ascii="Titillium" w:hAnsi="Titillium" w:cs="Calibri"/>
          <w:sz w:val="18"/>
          <w:szCs w:val="18"/>
        </w:rPr>
        <w:t xml:space="preserve">2.3. </w:t>
      </w:r>
      <w:r w:rsidR="00005305" w:rsidRPr="00A65180">
        <w:rPr>
          <w:rFonts w:ascii="Titillium" w:hAnsi="Titillium" w:cs="Calibri"/>
          <w:sz w:val="18"/>
          <w:szCs w:val="18"/>
        </w:rPr>
        <w:t>È collocato primo in graduatoria il concorrente che ha presentato</w:t>
      </w:r>
      <w:r w:rsidR="00C25436" w:rsidRPr="00A65180">
        <w:rPr>
          <w:rFonts w:ascii="Titillium" w:hAnsi="Titillium" w:cs="Calibri"/>
          <w:sz w:val="18"/>
          <w:szCs w:val="18"/>
        </w:rPr>
        <w:t xml:space="preserve"> la migliore offerta</w:t>
      </w:r>
      <w:r w:rsidR="00005305" w:rsidRPr="00A65180">
        <w:rPr>
          <w:rFonts w:ascii="Titillium" w:hAnsi="Titillium" w:cs="Calibri"/>
          <w:sz w:val="18"/>
          <w:szCs w:val="18"/>
        </w:rPr>
        <w:t xml:space="preserve">. Ove permanga l’ex aequo </w:t>
      </w:r>
      <w:r w:rsidR="001322C5" w:rsidRPr="00A65180">
        <w:rPr>
          <w:rFonts w:ascii="Titillium" w:hAnsi="Titillium" w:cs="Calibri"/>
          <w:sz w:val="18"/>
          <w:szCs w:val="18"/>
        </w:rPr>
        <w:t xml:space="preserve">la commissione procede mediante al </w:t>
      </w:r>
      <w:r w:rsidRPr="00A65180">
        <w:rPr>
          <w:rFonts w:ascii="Titillium" w:hAnsi="Titillium" w:cs="Calibri"/>
          <w:sz w:val="18"/>
          <w:szCs w:val="18"/>
        </w:rPr>
        <w:t xml:space="preserve">sorteggio </w:t>
      </w:r>
      <w:r w:rsidRPr="00A65180">
        <w:rPr>
          <w:rFonts w:ascii="Titillium" w:hAnsi="Titillium"/>
          <w:sz w:val="18"/>
          <w:szCs w:val="18"/>
        </w:rPr>
        <w:t>ad individuare il concorrente che verrà collocato primo nella graduatoria.</w:t>
      </w:r>
      <w:r w:rsidR="00005305" w:rsidRPr="00A65180">
        <w:rPr>
          <w:rFonts w:ascii="Titillium" w:hAnsi="Titillium"/>
          <w:sz w:val="18"/>
          <w:szCs w:val="18"/>
        </w:rPr>
        <w:t xml:space="preserve"> </w:t>
      </w:r>
      <w:r w:rsidR="001322C5" w:rsidRPr="00A65180">
        <w:rPr>
          <w:rFonts w:ascii="Titillium" w:hAnsi="Titillium"/>
          <w:sz w:val="18"/>
          <w:szCs w:val="18"/>
        </w:rPr>
        <w:t>L</w:t>
      </w:r>
      <w:r w:rsidR="00005305" w:rsidRPr="00A65180">
        <w:rPr>
          <w:rFonts w:ascii="Titillium" w:hAnsi="Titillium"/>
          <w:sz w:val="18"/>
          <w:szCs w:val="18"/>
        </w:rPr>
        <w:t>a stazione appaltante comunica il giorno e l’ora del sorteggio.</w:t>
      </w:r>
      <w:r w:rsidR="00994C0B" w:rsidRPr="00A65180">
        <w:rPr>
          <w:rFonts w:ascii="Titillium" w:hAnsi="Titillium"/>
          <w:sz w:val="18"/>
          <w:szCs w:val="18"/>
        </w:rPr>
        <w:t xml:space="preserve"> secondo le modalità previste all’articolo 2.3.</w:t>
      </w:r>
    </w:p>
    <w:p w14:paraId="4C036293" w14:textId="77777777" w:rsidR="009B0C28" w:rsidRDefault="009B0C28" w:rsidP="009B0C28">
      <w:pPr>
        <w:spacing w:before="60" w:after="60"/>
        <w:rPr>
          <w:rFonts w:ascii="Titillium" w:hAnsi="Titillium" w:cs="Calibri"/>
          <w:sz w:val="18"/>
          <w:szCs w:val="18"/>
        </w:rPr>
      </w:pPr>
      <w:r w:rsidRPr="009B0C28">
        <w:rPr>
          <w:rFonts w:ascii="Titillium" w:hAnsi="Titillium" w:cs="Calibri"/>
          <w:sz w:val="18"/>
          <w:szCs w:val="18"/>
        </w:rPr>
        <w:t>La commissione giudicatrice rende</w:t>
      </w:r>
      <w:r>
        <w:rPr>
          <w:rFonts w:ascii="Titillium" w:hAnsi="Titillium" w:cs="Calibri"/>
          <w:sz w:val="18"/>
          <w:szCs w:val="18"/>
        </w:rPr>
        <w:t xml:space="preserve"> </w:t>
      </w:r>
      <w:r w:rsidRPr="009B0C28">
        <w:rPr>
          <w:rFonts w:ascii="Titillium" w:hAnsi="Titillium" w:cs="Calibri"/>
          <w:sz w:val="18"/>
          <w:szCs w:val="18"/>
        </w:rPr>
        <w:t>visibile ai concorrenti, con le modalità di cui all’articolo 19</w:t>
      </w:r>
      <w:r>
        <w:rPr>
          <w:rFonts w:ascii="Titillium" w:hAnsi="Titillium" w:cs="Calibri"/>
          <w:sz w:val="18"/>
          <w:szCs w:val="18"/>
        </w:rPr>
        <w:t xml:space="preserve"> </w:t>
      </w:r>
      <w:r w:rsidRPr="009B0C28">
        <w:rPr>
          <w:rFonts w:ascii="Titillium" w:hAnsi="Titillium" w:cs="Calibri"/>
          <w:sz w:val="18"/>
          <w:szCs w:val="18"/>
        </w:rPr>
        <w:t>i prezzi offerti.</w:t>
      </w:r>
    </w:p>
    <w:p w14:paraId="4A543CEC" w14:textId="5C5535F2" w:rsidR="004C53A8" w:rsidRDefault="00870286" w:rsidP="009B0C28">
      <w:pPr>
        <w:spacing w:before="60" w:after="60"/>
      </w:pPr>
      <w:r>
        <w:rPr>
          <w:rFonts w:ascii="Titillium" w:hAnsi="Titillium" w:cs="Calibri"/>
          <w:sz w:val="18"/>
          <w:szCs w:val="18"/>
        </w:rPr>
        <w:t>All’esito delle operazioni di cui sopra, la commissione, redige la graduatoria e comunica la proposta di aggiudicazione al RUP.</w:t>
      </w:r>
    </w:p>
    <w:p w14:paraId="1CB2140F" w14:textId="1C73707C" w:rsidR="004C53A8" w:rsidRDefault="00870286">
      <w:pPr>
        <w:spacing w:before="60" w:after="60"/>
      </w:pPr>
      <w:r>
        <w:rPr>
          <w:rFonts w:ascii="Titillium" w:hAnsi="Titillium" w:cs="Calibri"/>
          <w:sz w:val="18"/>
          <w:szCs w:val="18"/>
        </w:rPr>
        <w:t>Qualora individui offerte che superano la soglia di anomalia di cui all’articolo 97, comma 3 del Codice, e in ogni altro caso in cui, in base a elementi specifici, l’offerta appaia anormalmente bassa, la commissione, chiude la seduta dando comunicazione al RUP, che procede alla verifica dell’anomalia.</w:t>
      </w:r>
    </w:p>
    <w:p w14:paraId="76B8539F" w14:textId="0BBCE209" w:rsidR="004C53A8" w:rsidRDefault="00870286">
      <w:pPr>
        <w:spacing w:before="60" w:after="60"/>
      </w:pPr>
      <w:r>
        <w:rPr>
          <w:rFonts w:ascii="Titillium" w:hAnsi="Titillium" w:cs="Calibri"/>
          <w:sz w:val="18"/>
          <w:szCs w:val="18"/>
        </w:rPr>
        <w:t xml:space="preserve">In qualsiasi fase delle operazioni di valutazione delle offerte tecniche ed economiche, la commissione provvede a comunicare, tempestivamente </w:t>
      </w:r>
      <w:r>
        <w:rPr>
          <w:rFonts w:ascii="Titillium" w:hAnsi="Titillium"/>
          <w:sz w:val="18"/>
          <w:szCs w:val="18"/>
        </w:rPr>
        <w:t xml:space="preserve">al </w:t>
      </w:r>
      <w:r>
        <w:rPr>
          <w:rFonts w:ascii="Titillium" w:hAnsi="Titillium" w:cs="Garamond"/>
          <w:i/>
          <w:sz w:val="18"/>
          <w:szCs w:val="18"/>
        </w:rPr>
        <w:t>… [RUP/seggio di gara/apposito ufficio-servizio]</w:t>
      </w:r>
      <w:r w:rsidR="00B6737B">
        <w:rPr>
          <w:rFonts w:ascii="Titillium" w:hAnsi="Titillium" w:cs="Garamond"/>
          <w:sz w:val="18"/>
          <w:szCs w:val="18"/>
        </w:rPr>
        <w:t xml:space="preserve"> </w:t>
      </w:r>
      <w:r w:rsidRPr="00254D96">
        <w:rPr>
          <w:rFonts w:ascii="Titillium" w:hAnsi="Titillium" w:cs="Garamond"/>
          <w:sz w:val="18"/>
          <w:szCs w:val="18"/>
        </w:rPr>
        <w:t>i casi di esclusione</w:t>
      </w:r>
      <w:r>
        <w:rPr>
          <w:rFonts w:ascii="Titillium" w:hAnsi="Titillium" w:cs="Garamond"/>
          <w:sz w:val="18"/>
          <w:szCs w:val="18"/>
        </w:rPr>
        <w:t xml:space="preserve"> da disporre per:</w:t>
      </w:r>
      <w:r>
        <w:rPr>
          <w:rFonts w:ascii="Titillium" w:hAnsi="Titillium" w:cs="Calibri"/>
          <w:sz w:val="18"/>
          <w:szCs w:val="18"/>
        </w:rPr>
        <w:t xml:space="preserve"> </w:t>
      </w:r>
    </w:p>
    <w:p w14:paraId="186CE23E" w14:textId="77777777" w:rsidR="004C53A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mancata separazione dell’offerta economica dall’offerta tecnica, ovvero inserimento di elementi concernenti il prezzo nella documentazione amministrativa o nell’offerta tecnica;</w:t>
      </w:r>
    </w:p>
    <w:p w14:paraId="24301228" w14:textId="6FFB25B5" w:rsidR="004C53A8" w:rsidRDefault="00870286" w:rsidP="00601972">
      <w:pPr>
        <w:pStyle w:val="Paragrafoelenco"/>
        <w:numPr>
          <w:ilvl w:val="0"/>
          <w:numId w:val="35"/>
        </w:numPr>
        <w:spacing w:before="60" w:after="60"/>
        <w:ind w:left="426"/>
      </w:pPr>
      <w:r>
        <w:rPr>
          <w:rFonts w:ascii="Titillium" w:hAnsi="Titillium" w:cs="Calibri"/>
          <w:sz w:val="18"/>
          <w:szCs w:val="18"/>
        </w:rPr>
        <w:t>presentazione di</w:t>
      </w:r>
      <w:r>
        <w:rPr>
          <w:rFonts w:ascii="Titillium" w:hAnsi="Titillium" w:cs="Calibri"/>
          <w:b/>
          <w:sz w:val="18"/>
          <w:szCs w:val="18"/>
        </w:rPr>
        <w:t xml:space="preserve"> </w:t>
      </w:r>
      <w:r>
        <w:rPr>
          <w:rFonts w:ascii="Titillium" w:hAnsi="Titillium" w:cs="Calibri"/>
          <w:sz w:val="18"/>
          <w:szCs w:val="18"/>
        </w:rPr>
        <w:t>offerte parziali, plurime, condizionate, alternative oppure irregolari</w:t>
      </w:r>
      <w:r w:rsidR="007C2CBB">
        <w:rPr>
          <w:rFonts w:ascii="Titillium" w:hAnsi="Titillium" w:cs="Calibri"/>
          <w:sz w:val="18"/>
          <w:szCs w:val="18"/>
        </w:rPr>
        <w:t xml:space="preserve"> </w:t>
      </w:r>
      <w:r>
        <w:rPr>
          <w:rFonts w:ascii="Titillium" w:hAnsi="Titillium" w:cs="Calibri"/>
          <w:sz w:val="18"/>
          <w:szCs w:val="18"/>
        </w:rPr>
        <w:t>in quanto non rispettano i documenti di gara, ivi comprese le specifiche tecniche</w:t>
      </w:r>
      <w:r w:rsidR="007C2CBB">
        <w:rPr>
          <w:rFonts w:ascii="Titillium" w:hAnsi="Titillium" w:cs="Calibri"/>
          <w:sz w:val="18"/>
          <w:szCs w:val="18"/>
        </w:rPr>
        <w:t>, o anormalmente bass</w:t>
      </w:r>
      <w:r w:rsidR="00EE681D">
        <w:rPr>
          <w:rFonts w:ascii="Titillium" w:hAnsi="Titillium" w:cs="Calibri"/>
          <w:sz w:val="18"/>
          <w:szCs w:val="18"/>
        </w:rPr>
        <w:t>e</w:t>
      </w:r>
      <w:r>
        <w:rPr>
          <w:rFonts w:ascii="Titillium" w:hAnsi="Titillium" w:cs="Calibri"/>
          <w:sz w:val="18"/>
          <w:szCs w:val="18"/>
        </w:rPr>
        <w:t>;</w:t>
      </w:r>
    </w:p>
    <w:p w14:paraId="79B9D0A3" w14:textId="77777777" w:rsidR="009B0C2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presentazione di offerte inammissibili</w:t>
      </w:r>
      <w:r w:rsidR="007C2CBB">
        <w:rPr>
          <w:rFonts w:ascii="Titillium" w:hAnsi="Titillium" w:cs="Calibri"/>
          <w:sz w:val="18"/>
          <w:szCs w:val="18"/>
        </w:rPr>
        <w:t xml:space="preserve"> </w:t>
      </w:r>
      <w:r>
        <w:rPr>
          <w:rFonts w:ascii="Titillium" w:hAnsi="Titillium" w:cs="Calibri"/>
          <w:sz w:val="18"/>
          <w:szCs w:val="18"/>
        </w:rPr>
        <w:t>in quanto la commissione giudicatrice ha ritenuto sussistenti gli estremi per l’informativa alla Procura della Repubblica per reati di corruzione o fenomeni collusivi o ha verificato essere in aumento rispetto all’importo a base di gara;</w:t>
      </w:r>
    </w:p>
    <w:p w14:paraId="024400F9" w14:textId="068749EF" w:rsidR="00F2716E" w:rsidRPr="00F2716E" w:rsidRDefault="009B0C28" w:rsidP="00601972">
      <w:pPr>
        <w:pStyle w:val="Paragrafoelenco"/>
        <w:numPr>
          <w:ilvl w:val="0"/>
          <w:numId w:val="35"/>
        </w:numPr>
        <w:spacing w:before="60" w:after="60"/>
        <w:ind w:left="426"/>
      </w:pPr>
      <w:r w:rsidRPr="002B7172">
        <w:rPr>
          <w:rFonts w:ascii="Titillium" w:hAnsi="Titillium" w:cs="Calibri"/>
          <w:b/>
          <w:i/>
          <w:sz w:val="18"/>
          <w:szCs w:val="18"/>
        </w:rPr>
        <w:t>[</w:t>
      </w:r>
      <w:r w:rsidR="002B7172" w:rsidRPr="002B7172">
        <w:rPr>
          <w:rFonts w:ascii="Titillium" w:hAnsi="Titillium" w:cs="Calibri"/>
          <w:b/>
          <w:i/>
          <w:sz w:val="18"/>
          <w:szCs w:val="18"/>
        </w:rPr>
        <w:t>F</w:t>
      </w:r>
      <w:r w:rsidRPr="002B7172">
        <w:rPr>
          <w:rFonts w:ascii="Titillium" w:hAnsi="Titillium" w:cs="Calibri"/>
          <w:b/>
          <w:i/>
          <w:sz w:val="18"/>
          <w:szCs w:val="18"/>
        </w:rPr>
        <w:t xml:space="preserve">acoltativo in caso di mancato superamento della soglia di sbarramento] </w:t>
      </w:r>
      <w:r>
        <w:rPr>
          <w:rFonts w:ascii="Titillium" w:hAnsi="Titillium" w:cs="Calibri"/>
          <w:sz w:val="18"/>
          <w:szCs w:val="18"/>
        </w:rPr>
        <w:t>m</w:t>
      </w:r>
      <w:r w:rsidRPr="003762B8">
        <w:rPr>
          <w:rFonts w:ascii="Titillium" w:hAnsi="Titillium" w:cs="Calibri"/>
          <w:sz w:val="18"/>
          <w:szCs w:val="18"/>
        </w:rPr>
        <w:t>ancato superamento</w:t>
      </w:r>
      <w:r w:rsidRPr="00006719">
        <w:rPr>
          <w:rFonts w:ascii="Titillium" w:hAnsi="Titillium" w:cs="Calibri"/>
          <w:sz w:val="18"/>
          <w:szCs w:val="18"/>
        </w:rPr>
        <w:t xml:space="preserve"> della soglia di sbarramento per l’offerta tecnica</w:t>
      </w:r>
      <w:r w:rsidR="00870286" w:rsidRPr="00006719">
        <w:rPr>
          <w:rFonts w:ascii="Titillium" w:hAnsi="Titillium" w:cs="Calibri"/>
          <w:sz w:val="18"/>
          <w:szCs w:val="18"/>
        </w:rPr>
        <w:t xml:space="preserve">. </w:t>
      </w:r>
    </w:p>
    <w:p w14:paraId="649D43C8" w14:textId="77777777" w:rsidR="004C53A8" w:rsidRDefault="00870286">
      <w:pPr>
        <w:pStyle w:val="Titolo2"/>
        <w:numPr>
          <w:ilvl w:val="0"/>
          <w:numId w:val="4"/>
        </w:numPr>
        <w:ind w:left="357" w:hanging="357"/>
        <w:rPr>
          <w:rFonts w:ascii="Titillium" w:hAnsi="Titillium"/>
          <w:sz w:val="18"/>
          <w:szCs w:val="18"/>
        </w:rPr>
      </w:pPr>
      <w:bookmarkStart w:id="2072" w:name="_Toc381775856"/>
      <w:bookmarkStart w:id="2073" w:name="_Toc485218335"/>
      <w:bookmarkStart w:id="2074" w:name="_Toc484688900"/>
      <w:bookmarkStart w:id="2075" w:name="_Toc484688345"/>
      <w:bookmarkStart w:id="2076" w:name="_Toc484605476"/>
      <w:bookmarkStart w:id="2077" w:name="_Toc484605352"/>
      <w:bookmarkStart w:id="2078" w:name="_Toc484526632"/>
      <w:bookmarkStart w:id="2079" w:name="_Toc484449137"/>
      <w:bookmarkStart w:id="2080" w:name="_Toc484449013"/>
      <w:bookmarkStart w:id="2081" w:name="_Toc484448889"/>
      <w:bookmarkStart w:id="2082" w:name="_Toc484448766"/>
      <w:bookmarkStart w:id="2083" w:name="_Toc484448642"/>
      <w:bookmarkStart w:id="2084" w:name="_Toc484448518"/>
      <w:bookmarkStart w:id="2085" w:name="_Toc484448394"/>
      <w:bookmarkStart w:id="2086" w:name="_Toc484448270"/>
      <w:bookmarkStart w:id="2087" w:name="_Toc484448146"/>
      <w:bookmarkStart w:id="2088" w:name="_Toc484440486"/>
      <w:bookmarkStart w:id="2089" w:name="_Toc484440126"/>
      <w:bookmarkStart w:id="2090" w:name="_Toc484440002"/>
      <w:bookmarkStart w:id="2091" w:name="_Toc484439879"/>
      <w:bookmarkStart w:id="2092" w:name="_Toc484438959"/>
      <w:bookmarkStart w:id="2093" w:name="_Toc484438835"/>
      <w:bookmarkStart w:id="2094" w:name="_Toc484438711"/>
      <w:bookmarkStart w:id="2095" w:name="_Toc484429136"/>
      <w:bookmarkStart w:id="2096" w:name="_Toc484428966"/>
      <w:bookmarkStart w:id="2097" w:name="_Toc484097792"/>
      <w:bookmarkStart w:id="2098" w:name="_Toc484011718"/>
      <w:bookmarkStart w:id="2099" w:name="_Toc484011243"/>
      <w:bookmarkStart w:id="2100" w:name="_Toc484011121"/>
      <w:bookmarkStart w:id="2101" w:name="_Toc484010999"/>
      <w:bookmarkStart w:id="2102" w:name="_Toc484010875"/>
      <w:bookmarkStart w:id="2103" w:name="_Toc484010753"/>
      <w:bookmarkStart w:id="2104" w:name="_Toc483907003"/>
      <w:bookmarkStart w:id="2105" w:name="_Toc3539903981"/>
      <w:bookmarkStart w:id="2106" w:name="_Toc381776132"/>
      <w:bookmarkStart w:id="2107" w:name="_Toc416423376"/>
      <w:bookmarkStart w:id="2108" w:name="_Toc406754193"/>
      <w:bookmarkStart w:id="2109" w:name="_Toc406058392"/>
      <w:bookmarkStart w:id="2110" w:name="_Toc403471284"/>
      <w:bookmarkStart w:id="2111" w:name="_Toc397422877"/>
      <w:bookmarkStart w:id="2112" w:name="_Toc397346836"/>
      <w:bookmarkStart w:id="2113" w:name="_Toc393706921"/>
      <w:bookmarkStart w:id="2114" w:name="_Toc393700848"/>
      <w:bookmarkStart w:id="2115" w:name="_Toc393283189"/>
      <w:bookmarkStart w:id="2116" w:name="_Toc393272673"/>
      <w:bookmarkStart w:id="2117" w:name="_Toc393272615"/>
      <w:bookmarkStart w:id="2118" w:name="_Toc393187859"/>
      <w:bookmarkStart w:id="2119" w:name="_Toc393112142"/>
      <w:bookmarkStart w:id="2120" w:name="_Toc393110578"/>
      <w:bookmarkStart w:id="2121" w:name="_Toc392577511"/>
      <w:bookmarkStart w:id="2122" w:name="_Toc391036070"/>
      <w:bookmarkStart w:id="2123" w:name="_Toc391035997"/>
      <w:bookmarkStart w:id="2124" w:name="_Toc380501884"/>
      <w:bookmarkStart w:id="2125" w:name="_Toc95495918"/>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r>
        <w:rPr>
          <w:rFonts w:ascii="Titillium" w:hAnsi="Titillium"/>
          <w:sz w:val="18"/>
          <w:szCs w:val="18"/>
        </w:rPr>
        <w:t>VERIFICA DI ANOMALIA DELLE OFFERTE</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14:paraId="003E47EC" w14:textId="2189FDF1" w:rsidR="004C53A8" w:rsidRDefault="00870286">
      <w:pPr>
        <w:spacing w:before="60" w:after="60"/>
      </w:pPr>
      <w:r>
        <w:rPr>
          <w:rFonts w:ascii="Titillium" w:eastAsia="SimSun" w:hAnsi="Titillium" w:cs="Calibri"/>
          <w:b/>
          <w:i/>
          <w:sz w:val="18"/>
          <w:szCs w:val="18"/>
        </w:rPr>
        <w:t>[In caso di inversione procedimentale l’articolo assume la numerazione 2</w:t>
      </w:r>
      <w:r w:rsidR="00B64CC9">
        <w:rPr>
          <w:rFonts w:ascii="Titillium" w:eastAsia="SimSun" w:hAnsi="Titillium" w:cs="Calibri"/>
          <w:b/>
          <w:i/>
          <w:sz w:val="18"/>
          <w:szCs w:val="18"/>
        </w:rPr>
        <w:t>1</w:t>
      </w:r>
      <w:r>
        <w:rPr>
          <w:rFonts w:ascii="Titillium" w:eastAsia="SimSun" w:hAnsi="Titillium"/>
          <w:b/>
          <w:bCs/>
          <w:i/>
          <w:sz w:val="18"/>
          <w:szCs w:val="18"/>
        </w:rPr>
        <w:t>]</w:t>
      </w:r>
    </w:p>
    <w:p w14:paraId="3FB2D433" w14:textId="51D7EBCC" w:rsidR="004C53A8" w:rsidRDefault="00870286">
      <w:pPr>
        <w:spacing w:before="60" w:after="60"/>
      </w:pPr>
      <w:r>
        <w:rPr>
          <w:rFonts w:ascii="Titillium" w:hAnsi="Titillium" w:cs="Calibri"/>
          <w:sz w:val="18"/>
          <w:szCs w:val="18"/>
        </w:rPr>
        <w:t xml:space="preserve">Al ricorrere dei presupposti di cui all’articolo 97, comma 3, del Codice, e in ogni altro caso in cui, in base a elementi specifici, l’offerta appaia anormalmente bassa, il RUP </w:t>
      </w:r>
      <w:r>
        <w:rPr>
          <w:rFonts w:ascii="Titillium" w:hAnsi="Titillium" w:cs="Calibri"/>
          <w:i/>
          <w:sz w:val="18"/>
          <w:szCs w:val="18"/>
        </w:rPr>
        <w:t>[</w:t>
      </w:r>
      <w:r w:rsidR="00994C13" w:rsidRPr="00254D96">
        <w:rPr>
          <w:rFonts w:ascii="Titillium" w:hAnsi="Titillium" w:cs="Calibri"/>
          <w:b/>
          <w:i/>
          <w:sz w:val="18"/>
          <w:szCs w:val="18"/>
        </w:rPr>
        <w:t>F</w:t>
      </w:r>
      <w:r>
        <w:rPr>
          <w:rFonts w:ascii="Titillium" w:hAnsi="Titillium" w:cs="Calibri"/>
          <w:b/>
          <w:i/>
          <w:sz w:val="18"/>
          <w:szCs w:val="18"/>
        </w:rPr>
        <w:t>acoltativo</w:t>
      </w:r>
      <w:r>
        <w:rPr>
          <w:rFonts w:ascii="Titillium" w:hAnsi="Titillium" w:cs="Calibri"/>
          <w:sz w:val="18"/>
          <w:szCs w:val="18"/>
        </w:rPr>
        <w:t xml:space="preserve"> </w:t>
      </w:r>
      <w:r w:rsidRPr="00994C0B">
        <w:rPr>
          <w:rFonts w:ascii="Titillium" w:hAnsi="Titillium" w:cs="Calibri"/>
          <w:i/>
          <w:sz w:val="18"/>
          <w:szCs w:val="18"/>
        </w:rPr>
        <w:t>avvalendosi di … indicare se commissione giudicatrice o struttura di supporto istituita ad hoc</w:t>
      </w:r>
      <w:r w:rsidRPr="00B6737B">
        <w:rPr>
          <w:rFonts w:ascii="Titillium" w:hAnsi="Titillium" w:cs="Calibri"/>
          <w:i/>
          <w:sz w:val="18"/>
          <w:szCs w:val="18"/>
        </w:rPr>
        <w:t>]</w:t>
      </w:r>
      <w:r>
        <w:rPr>
          <w:rFonts w:ascii="Titillium" w:hAnsi="Titillium" w:cs="Calibri"/>
          <w:sz w:val="18"/>
          <w:szCs w:val="18"/>
        </w:rPr>
        <w:t>, valuta la congruità, serietà, sostenibilità e realizzabilità delle offerte che appaiono anormalmente basse.</w:t>
      </w:r>
    </w:p>
    <w:p w14:paraId="7D73F732" w14:textId="77777777" w:rsidR="006067BD" w:rsidRDefault="00870286">
      <w:pPr>
        <w:spacing w:before="60" w:after="60"/>
        <w:rPr>
          <w:rFonts w:ascii="Titillium" w:hAnsi="Titillium" w:cs="Calibri"/>
          <w:sz w:val="18"/>
          <w:szCs w:val="18"/>
        </w:rPr>
      </w:pPr>
      <w:r>
        <w:rPr>
          <w:rFonts w:ascii="Titillium" w:hAnsi="Titillium" w:cs="Calibri"/>
          <w:sz w:val="18"/>
          <w:szCs w:val="18"/>
        </w:rPr>
        <w:t xml:space="preserve">Si procede a verificare la prima migliore offerta anormalmente bassa. Qualora tale offerta risulti anomala, si procede con le stesse modalità nei confronti delle successive offerte ritenute anomale, fino ad individuare la migliore offerta ritenuta non anomala. </w:t>
      </w:r>
    </w:p>
    <w:p w14:paraId="19527900" w14:textId="77777777" w:rsidR="006067BD" w:rsidRDefault="006067BD">
      <w:pPr>
        <w:spacing w:before="60" w:after="60"/>
        <w:rPr>
          <w:rFonts w:ascii="Titillium" w:hAnsi="Titillium" w:cs="Calibri"/>
          <w:sz w:val="18"/>
          <w:szCs w:val="18"/>
        </w:rPr>
      </w:pPr>
      <w:r w:rsidRPr="00331144">
        <w:rPr>
          <w:rFonts w:ascii="Titillium" w:hAnsi="Titillium" w:cs="Calibri"/>
          <w:b/>
          <w:i/>
          <w:sz w:val="18"/>
          <w:szCs w:val="18"/>
        </w:rPr>
        <w:t>[In alternativa]</w:t>
      </w:r>
      <w:r>
        <w:rPr>
          <w:rFonts w:ascii="Titillium" w:hAnsi="Titillium" w:cs="Calibri"/>
          <w:sz w:val="18"/>
          <w:szCs w:val="18"/>
        </w:rPr>
        <w:t xml:space="preserve"> Si</w:t>
      </w:r>
      <w:r w:rsidR="00870286">
        <w:rPr>
          <w:rFonts w:ascii="Titillium" w:hAnsi="Titillium" w:cs="Calibri"/>
          <w:sz w:val="18"/>
          <w:szCs w:val="18"/>
        </w:rPr>
        <w:t xml:space="preserve"> procede contemporaneamente alla verifica di congruità di tutte le offerte anormalmente basse</w:t>
      </w:r>
      <w:r>
        <w:rPr>
          <w:rFonts w:ascii="Titillium" w:hAnsi="Titillium" w:cs="Calibri"/>
          <w:sz w:val="18"/>
          <w:szCs w:val="18"/>
        </w:rPr>
        <w:t xml:space="preserve"> </w:t>
      </w:r>
    </w:p>
    <w:p w14:paraId="4A8383DD" w14:textId="2AA3DA5A" w:rsidR="004C53A8" w:rsidRDefault="006067BD">
      <w:pPr>
        <w:spacing w:before="60" w:after="60"/>
        <w:rPr>
          <w:rFonts w:ascii="Titillium" w:hAnsi="Titillium" w:cs="Calibri"/>
          <w:sz w:val="18"/>
          <w:szCs w:val="18"/>
        </w:rPr>
      </w:pPr>
      <w:r w:rsidRPr="00331144">
        <w:rPr>
          <w:rFonts w:ascii="Titillium" w:hAnsi="Titillium" w:cs="Calibri"/>
          <w:b/>
          <w:i/>
          <w:sz w:val="18"/>
          <w:szCs w:val="18"/>
        </w:rPr>
        <w:t>[In alternativa]</w:t>
      </w:r>
      <w:r>
        <w:rPr>
          <w:rFonts w:ascii="Titillium" w:hAnsi="Titillium" w:cs="Calibri"/>
          <w:sz w:val="18"/>
          <w:szCs w:val="18"/>
        </w:rPr>
        <w:t xml:space="preserve"> Si procede contemporaneamente alla verifica di congruità delle prime … </w:t>
      </w:r>
      <w:r w:rsidR="00994C13" w:rsidRPr="00B6737B">
        <w:rPr>
          <w:rFonts w:ascii="Titillium" w:hAnsi="Titillium" w:cs="Calibri"/>
          <w:i/>
          <w:sz w:val="18"/>
          <w:szCs w:val="18"/>
        </w:rPr>
        <w:t>[</w:t>
      </w:r>
      <w:r w:rsidRPr="00B6737B">
        <w:rPr>
          <w:rFonts w:ascii="Titillium" w:hAnsi="Titillium" w:cs="Calibri"/>
          <w:i/>
          <w:sz w:val="18"/>
          <w:szCs w:val="18"/>
        </w:rPr>
        <w:t>indicare il numero</w:t>
      </w:r>
      <w:r w:rsidR="00994C13" w:rsidRPr="00B6737B">
        <w:rPr>
          <w:rFonts w:ascii="Titillium" w:hAnsi="Titillium" w:cs="Calibri"/>
          <w:i/>
          <w:sz w:val="18"/>
          <w:szCs w:val="18"/>
        </w:rPr>
        <w:t>]</w:t>
      </w:r>
      <w:r>
        <w:rPr>
          <w:rFonts w:ascii="Titillium" w:hAnsi="Titillium" w:cs="Calibri"/>
          <w:sz w:val="18"/>
          <w:szCs w:val="18"/>
        </w:rPr>
        <w:t xml:space="preserve"> offerte anormalmente basse</w:t>
      </w:r>
      <w:r w:rsidR="00870286">
        <w:rPr>
          <w:rFonts w:ascii="Titillium" w:hAnsi="Titillium" w:cs="Calibri"/>
          <w:sz w:val="18"/>
          <w:szCs w:val="18"/>
        </w:rPr>
        <w:t>.</w:t>
      </w:r>
    </w:p>
    <w:p w14:paraId="32669F3C" w14:textId="651FD51D" w:rsidR="004C53A8" w:rsidRPr="006067BD" w:rsidRDefault="00870286">
      <w:pPr>
        <w:pStyle w:val="Standard"/>
        <w:tabs>
          <w:tab w:val="left" w:pos="0"/>
          <w:tab w:val="left" w:pos="4340"/>
        </w:tabs>
        <w:spacing w:before="60" w:after="60" w:line="240" w:lineRule="auto"/>
        <w:jc w:val="both"/>
        <w:rPr>
          <w:rFonts w:ascii="Titillium" w:hAnsi="Titillium"/>
          <w:sz w:val="20"/>
        </w:rPr>
      </w:pPr>
      <w:r w:rsidRPr="00331144">
        <w:rPr>
          <w:rFonts w:ascii="Titillium" w:eastAsia="Times New Roman" w:hAnsi="Titillium" w:cs="Calibri"/>
          <w:b/>
          <w:bCs/>
          <w:i/>
          <w:sz w:val="18"/>
          <w:szCs w:val="18"/>
        </w:rPr>
        <w:t>[Facoltativo]</w:t>
      </w:r>
      <w:r w:rsidRPr="006067BD">
        <w:rPr>
          <w:rFonts w:ascii="Titillium" w:eastAsia="Times New Roman" w:hAnsi="Titillium" w:cs="Calibri"/>
          <w:sz w:val="18"/>
          <w:szCs w:val="18"/>
        </w:rPr>
        <w:t xml:space="preserve"> </w:t>
      </w:r>
      <w:r w:rsidR="006067BD">
        <w:rPr>
          <w:rFonts w:ascii="Titillium" w:eastAsia="Times New Roman" w:hAnsi="Titillium" w:cs="Calibri"/>
          <w:sz w:val="18"/>
          <w:szCs w:val="18"/>
        </w:rPr>
        <w:t>Il</w:t>
      </w:r>
      <w:r w:rsidRPr="006067BD">
        <w:rPr>
          <w:rFonts w:ascii="Titillium" w:eastAsia="Times New Roman" w:hAnsi="Titillium" w:cs="Calibri"/>
          <w:sz w:val="18"/>
          <w:szCs w:val="18"/>
        </w:rPr>
        <w:t xml:space="preserve"> concorrente </w:t>
      </w:r>
      <w:r w:rsidR="006067BD">
        <w:rPr>
          <w:rFonts w:ascii="Titillium" w:eastAsia="Times New Roman" w:hAnsi="Titillium" w:cs="Calibri"/>
          <w:sz w:val="18"/>
          <w:szCs w:val="18"/>
        </w:rPr>
        <w:t>allega</w:t>
      </w:r>
      <w:r w:rsidRPr="006067BD">
        <w:rPr>
          <w:rFonts w:ascii="Titillium" w:eastAsia="Times New Roman" w:hAnsi="Titillium" w:cs="Calibri"/>
          <w:sz w:val="18"/>
          <w:szCs w:val="18"/>
        </w:rPr>
        <w:t xml:space="preserve">, in sede di presentazione dell’offerta economica, </w:t>
      </w:r>
      <w:r w:rsidR="006067BD">
        <w:rPr>
          <w:rFonts w:ascii="Titillium" w:eastAsia="Times New Roman" w:hAnsi="Titillium" w:cs="Calibri"/>
          <w:iCs/>
          <w:sz w:val="18"/>
          <w:szCs w:val="18"/>
        </w:rPr>
        <w:t>le</w:t>
      </w:r>
      <w:r w:rsidRPr="006067BD">
        <w:rPr>
          <w:rFonts w:ascii="Titillium" w:eastAsia="Times New Roman" w:hAnsi="Titillium" w:cs="Calibri"/>
          <w:iCs/>
          <w:sz w:val="18"/>
          <w:szCs w:val="18"/>
        </w:rPr>
        <w:t xml:space="preserve"> giustificazioni relative alle voci di prezzo e di costo.</w:t>
      </w:r>
      <w:r w:rsidRPr="006067BD">
        <w:rPr>
          <w:rFonts w:ascii="Titillium" w:eastAsia="Times New Roman" w:hAnsi="Titillium" w:cs="Calibri"/>
          <w:sz w:val="18"/>
          <w:szCs w:val="18"/>
        </w:rPr>
        <w:t xml:space="preserve"> La mancata presentazione anticipata delle giustificazioni non è causa di esclusione. </w:t>
      </w:r>
    </w:p>
    <w:p w14:paraId="25F7947E" w14:textId="12B10922" w:rsidR="004C53A8" w:rsidRDefault="00870286">
      <w:pPr>
        <w:spacing w:before="60" w:after="60"/>
        <w:rPr>
          <w:rFonts w:ascii="Titillium" w:hAnsi="Titillium" w:cs="Calibri"/>
          <w:sz w:val="18"/>
          <w:szCs w:val="18"/>
        </w:rPr>
      </w:pPr>
      <w:r>
        <w:rPr>
          <w:rFonts w:ascii="Titillium" w:hAnsi="Titillium" w:cs="Calibri"/>
          <w:sz w:val="18"/>
          <w:szCs w:val="18"/>
        </w:rPr>
        <w:t>Il RUP richiede al concorrente la presentazione delle spiegazioni, se del caso</w:t>
      </w:r>
      <w:r w:rsidR="006067BD">
        <w:rPr>
          <w:rFonts w:ascii="Titillium" w:hAnsi="Titillium" w:cs="Calibri"/>
          <w:sz w:val="18"/>
          <w:szCs w:val="18"/>
        </w:rPr>
        <w:t>,</w:t>
      </w:r>
      <w:r>
        <w:rPr>
          <w:rFonts w:ascii="Titillium" w:hAnsi="Titillium" w:cs="Calibri"/>
          <w:sz w:val="18"/>
          <w:szCs w:val="18"/>
        </w:rPr>
        <w:t xml:space="preserve"> indicando le componenti specifiche dell’offerta ritenute anomale.</w:t>
      </w:r>
    </w:p>
    <w:p w14:paraId="26087B7E" w14:textId="77777777" w:rsidR="004C53A8" w:rsidRDefault="00870286">
      <w:pPr>
        <w:spacing w:before="60" w:after="60"/>
        <w:rPr>
          <w:rFonts w:ascii="Titillium" w:hAnsi="Titillium" w:cs="Calibri"/>
          <w:sz w:val="18"/>
          <w:szCs w:val="18"/>
        </w:rPr>
      </w:pPr>
      <w:r>
        <w:rPr>
          <w:rFonts w:ascii="Titillium" w:hAnsi="Titillium" w:cs="Calibri"/>
          <w:sz w:val="18"/>
          <w:szCs w:val="18"/>
        </w:rPr>
        <w:t>A tal fine, assegna un termine non inferiore a quindici giorni dal ricevimento della richiesta.</w:t>
      </w:r>
    </w:p>
    <w:p w14:paraId="2E7662D2" w14:textId="6558D162" w:rsidR="004C53A8" w:rsidRDefault="00870286">
      <w:pPr>
        <w:spacing w:before="60" w:after="60"/>
        <w:rPr>
          <w:rFonts w:ascii="Titillium" w:hAnsi="Titillium" w:cs="Calibri"/>
          <w:sz w:val="18"/>
          <w:szCs w:val="18"/>
        </w:rPr>
      </w:pPr>
      <w:r>
        <w:rPr>
          <w:rFonts w:ascii="Titillium" w:hAnsi="Titillium" w:cs="Calibri"/>
          <w:sz w:val="18"/>
          <w:szCs w:val="18"/>
        </w:rPr>
        <w:t>Il RUP</w:t>
      </w:r>
      <w:r w:rsidR="006067BD">
        <w:rPr>
          <w:rFonts w:ascii="Titillium" w:hAnsi="Titillium" w:cs="Calibri"/>
          <w:sz w:val="18"/>
          <w:szCs w:val="18"/>
        </w:rPr>
        <w:t>,</w:t>
      </w:r>
      <w:r>
        <w:rPr>
          <w:rFonts w:ascii="Titillium" w:hAnsi="Titillium" w:cs="Calibri"/>
          <w:sz w:val="18"/>
          <w:szCs w:val="18"/>
        </w:rPr>
        <w:t xml:space="preserve"> </w:t>
      </w:r>
      <w:r w:rsidR="00EE681D" w:rsidRPr="00EE681D">
        <w:rPr>
          <w:rFonts w:ascii="Titillium" w:hAnsi="Titillium" w:cs="Calibri"/>
          <w:sz w:val="18"/>
          <w:szCs w:val="18"/>
        </w:rPr>
        <w:t>esamina</w:t>
      </w:r>
      <w:r w:rsidR="00EE681D">
        <w:rPr>
          <w:rFonts w:ascii="Titillium" w:hAnsi="Titillium" w:cs="Calibri"/>
          <w:sz w:val="18"/>
          <w:szCs w:val="18"/>
        </w:rPr>
        <w:t>te</w:t>
      </w:r>
      <w:r w:rsidR="00EE681D" w:rsidRPr="00EE681D">
        <w:rPr>
          <w:rFonts w:ascii="Titillium" w:hAnsi="Titillium" w:cs="Calibri"/>
          <w:sz w:val="18"/>
          <w:szCs w:val="18"/>
        </w:rPr>
        <w:t xml:space="preserve"> le spiegazioni fornite dall’offerente</w:t>
      </w:r>
      <w:r w:rsidR="00EE681D">
        <w:rPr>
          <w:rFonts w:ascii="Titillium" w:hAnsi="Titillium" w:cs="Calibri"/>
          <w:sz w:val="18"/>
          <w:szCs w:val="18"/>
        </w:rPr>
        <w:t>,</w:t>
      </w:r>
      <w:r w:rsidR="00EE681D" w:rsidRPr="00EE681D">
        <w:rPr>
          <w:rFonts w:ascii="Titillium" w:hAnsi="Titillium" w:cs="Calibri"/>
          <w:sz w:val="18"/>
          <w:szCs w:val="18"/>
        </w:rPr>
        <w:t xml:space="preserve"> ove le ritenga non sufficienti ad escludere l’anomalia, può chiedere, anche mediante audizione orale, ulteriori chiarimenti, assegnando un termine </w:t>
      </w:r>
      <w:r w:rsidR="005A75F1">
        <w:rPr>
          <w:rFonts w:ascii="Titillium" w:hAnsi="Titillium" w:cs="Calibri"/>
          <w:sz w:val="18"/>
          <w:szCs w:val="18"/>
        </w:rPr>
        <w:t>perentorio per il riscontro</w:t>
      </w:r>
      <w:r w:rsidR="00006719">
        <w:rPr>
          <w:rFonts w:ascii="Titillium" w:hAnsi="Titillium" w:cs="Calibri"/>
          <w:sz w:val="18"/>
          <w:szCs w:val="18"/>
        </w:rPr>
        <w:t>.</w:t>
      </w:r>
    </w:p>
    <w:p w14:paraId="0EB9E829" w14:textId="5F5AA82C" w:rsidR="004C53A8" w:rsidRDefault="00870286">
      <w:pPr>
        <w:spacing w:before="60" w:after="60"/>
        <w:rPr>
          <w:rFonts w:ascii="Titillium" w:hAnsi="Titillium" w:cs="Calibri"/>
          <w:sz w:val="18"/>
          <w:szCs w:val="18"/>
        </w:rPr>
      </w:pPr>
      <w:r>
        <w:rPr>
          <w:rFonts w:ascii="Titillium" w:hAnsi="Titillium" w:cs="Calibri"/>
          <w:sz w:val="18"/>
          <w:szCs w:val="18"/>
        </w:rPr>
        <w:t>Il RUP esclude le offerte che, in base all’esame degli elementi forniti con le spiegazioni risultino, nel complesso, inaffidabili.</w:t>
      </w:r>
    </w:p>
    <w:p w14:paraId="1D868B8D" w14:textId="77777777" w:rsidR="006F7F3E" w:rsidRPr="006F7F3E" w:rsidRDefault="00870286" w:rsidP="006F7F3E">
      <w:pPr>
        <w:pStyle w:val="Titolo2"/>
        <w:numPr>
          <w:ilvl w:val="0"/>
          <w:numId w:val="27"/>
        </w:numPr>
        <w:spacing w:before="240" w:after="0"/>
      </w:pPr>
      <w:bookmarkStart w:id="2126" w:name="_Toc95495919"/>
      <w:r>
        <w:rPr>
          <w:rFonts w:ascii="Titillium" w:eastAsia="SimSun" w:hAnsi="Titillium" w:cs="Calibri"/>
          <w:sz w:val="18"/>
          <w:szCs w:val="18"/>
          <w:lang w:val="it-IT"/>
        </w:rPr>
        <w:t>VERIFICA DELLA DOCUMENTAZIONE AMMINISTRATIVA</w:t>
      </w:r>
      <w:bookmarkEnd w:id="2126"/>
      <w:r>
        <w:rPr>
          <w:rFonts w:ascii="Titillium" w:eastAsia="SimSun" w:hAnsi="Titillium" w:cs="Calibri"/>
          <w:sz w:val="18"/>
          <w:szCs w:val="18"/>
          <w:lang w:val="it-IT"/>
        </w:rPr>
        <w:t xml:space="preserve"> </w:t>
      </w:r>
    </w:p>
    <w:p w14:paraId="0D0C2685" w14:textId="63BB24FB" w:rsidR="004C53A8" w:rsidRPr="006F7F3E" w:rsidRDefault="00922FC9" w:rsidP="006F7F3E">
      <w:pPr>
        <w:rPr>
          <w:rFonts w:ascii="Titillium" w:eastAsia="SimSun" w:hAnsi="Titillium"/>
          <w:b/>
          <w:bCs/>
          <w:i/>
          <w:iCs/>
          <w:sz w:val="18"/>
          <w:szCs w:val="18"/>
        </w:rPr>
      </w:pPr>
      <w:r w:rsidRPr="006F7F3E">
        <w:rPr>
          <w:rFonts w:ascii="Titillium" w:eastAsia="SimSun" w:hAnsi="Titillium"/>
          <w:b/>
          <w:bCs/>
          <w:i/>
          <w:iCs/>
          <w:sz w:val="18"/>
          <w:szCs w:val="18"/>
        </w:rPr>
        <w:t>[In caso di ricorso alla facoltà c.d. di inversione procedimentale, altrimenti questo articolo non deve essere presente.</w:t>
      </w:r>
      <w:r w:rsidR="00FE7AB7" w:rsidRPr="006F7F3E">
        <w:rPr>
          <w:rFonts w:ascii="Titillium" w:eastAsia="SimSun" w:hAnsi="Titillium"/>
          <w:b/>
          <w:bCs/>
          <w:i/>
          <w:iCs/>
          <w:sz w:val="18"/>
          <w:szCs w:val="18"/>
        </w:rPr>
        <w:t xml:space="preserve"> Se la stazione appaltante in caso di inversione procedimentale intende procedere prima alla verifica della documentazione amministrativa e dopo alla verifica dell’anomalia delle offerte il presente articolo deve precedere quello sopra riportato</w:t>
      </w:r>
      <w:r w:rsidRPr="006F7F3E">
        <w:rPr>
          <w:rFonts w:ascii="Titillium" w:eastAsia="SimSun" w:hAnsi="Titillium"/>
          <w:b/>
          <w:bCs/>
          <w:i/>
          <w:iCs/>
          <w:sz w:val="18"/>
          <w:szCs w:val="18"/>
        </w:rPr>
        <w:t xml:space="preserve">]  </w:t>
      </w:r>
    </w:p>
    <w:p w14:paraId="262E6395" w14:textId="369B77B4" w:rsidR="004C53A8" w:rsidRPr="00994C13" w:rsidRDefault="00870286">
      <w:pPr>
        <w:spacing w:before="60" w:after="60"/>
        <w:rPr>
          <w:rFonts w:ascii="Titillium" w:eastAsia="SimSun" w:hAnsi="Titillium"/>
          <w:sz w:val="18"/>
          <w:szCs w:val="18"/>
        </w:rPr>
      </w:pPr>
      <w:r>
        <w:rPr>
          <w:rFonts w:ascii="Titillium" w:eastAsia="SimSun" w:hAnsi="Titillium"/>
          <w:sz w:val="18"/>
          <w:szCs w:val="18"/>
        </w:rPr>
        <w:t xml:space="preserve">Il/La … </w:t>
      </w:r>
      <w:r>
        <w:rPr>
          <w:rFonts w:ascii="Titillium" w:eastAsia="SimSun" w:hAnsi="Titillium"/>
          <w:i/>
          <w:sz w:val="18"/>
          <w:szCs w:val="18"/>
        </w:rPr>
        <w:t>[</w:t>
      </w:r>
      <w:r>
        <w:rPr>
          <w:rFonts w:ascii="Titillium" w:hAnsi="Titillium" w:cs="Garamond"/>
          <w:i/>
          <w:sz w:val="18"/>
          <w:szCs w:val="18"/>
        </w:rPr>
        <w:t>scegliere tra commissione giudicatrice, RUP, seggio di gara istituito o apposito ufficio-servizio a ciò deputato</w:t>
      </w:r>
      <w:r>
        <w:rPr>
          <w:rFonts w:ascii="Titillium" w:eastAsia="SimSun" w:hAnsi="Titillium"/>
          <w:i/>
          <w:sz w:val="18"/>
          <w:szCs w:val="18"/>
        </w:rPr>
        <w:t>]</w:t>
      </w:r>
      <w:r w:rsidR="00B64CC9">
        <w:rPr>
          <w:rFonts w:ascii="Titillium" w:eastAsia="SimSun" w:hAnsi="Titillium"/>
          <w:sz w:val="18"/>
          <w:szCs w:val="18"/>
        </w:rPr>
        <w:t xml:space="preserve"> procede </w:t>
      </w:r>
      <w:r>
        <w:rPr>
          <w:rFonts w:ascii="Titillium" w:eastAsia="SimSun" w:hAnsi="Titillium"/>
          <w:sz w:val="18"/>
          <w:szCs w:val="18"/>
        </w:rPr>
        <w:t xml:space="preserve">in relazione al soggetto che ha presentato la migliore offerta a: </w:t>
      </w:r>
    </w:p>
    <w:p w14:paraId="5CAF057F" w14:textId="77777777" w:rsidR="004C53A8" w:rsidRDefault="00870286" w:rsidP="009E32A5">
      <w:pPr>
        <w:pStyle w:val="Paragrafoelenco"/>
        <w:numPr>
          <w:ilvl w:val="0"/>
          <w:numId w:val="42"/>
        </w:numPr>
        <w:spacing w:before="60" w:after="60"/>
        <w:rPr>
          <w:rFonts w:ascii="Titillium" w:eastAsia="SimSun" w:hAnsi="Titillium"/>
          <w:sz w:val="18"/>
          <w:szCs w:val="18"/>
          <w:lang w:eastAsia="en-US"/>
        </w:rPr>
      </w:pPr>
      <w:r>
        <w:rPr>
          <w:rFonts w:ascii="Titillium" w:eastAsia="SimSun" w:hAnsi="Titillium"/>
          <w:sz w:val="18"/>
          <w:szCs w:val="18"/>
          <w:lang w:eastAsia="en-US"/>
        </w:rPr>
        <w:t>controllare la completezza della documentazione amministrativa presentata;</w:t>
      </w:r>
    </w:p>
    <w:p w14:paraId="4172C615" w14:textId="77777777" w:rsidR="004C53A8" w:rsidRDefault="00870286" w:rsidP="009E32A5">
      <w:pPr>
        <w:pStyle w:val="Paragrafoelenco"/>
        <w:numPr>
          <w:ilvl w:val="0"/>
          <w:numId w:val="42"/>
        </w:numPr>
        <w:spacing w:before="60" w:after="60"/>
        <w:rPr>
          <w:rFonts w:ascii="Titillium" w:eastAsia="SimSun" w:hAnsi="Titillium"/>
          <w:sz w:val="18"/>
          <w:szCs w:val="18"/>
          <w:lang w:eastAsia="en-US"/>
        </w:rPr>
      </w:pPr>
      <w:r>
        <w:rPr>
          <w:rFonts w:ascii="Titillium" w:eastAsia="SimSun" w:hAnsi="Titillium"/>
          <w:sz w:val="18"/>
          <w:szCs w:val="18"/>
          <w:lang w:eastAsia="en-US"/>
        </w:rPr>
        <w:t>verificare la conformità della documentazione amministrativa a quanto richiesto nel presente disciplinare;</w:t>
      </w:r>
    </w:p>
    <w:p w14:paraId="6B25F183" w14:textId="6E54E82D" w:rsidR="004C53A8" w:rsidRDefault="00870286" w:rsidP="009E32A5">
      <w:pPr>
        <w:pStyle w:val="Paragrafoelenco"/>
        <w:numPr>
          <w:ilvl w:val="0"/>
          <w:numId w:val="42"/>
        </w:numPr>
        <w:spacing w:before="60" w:after="60"/>
        <w:rPr>
          <w:rFonts w:ascii="Titillium" w:eastAsia="SimSun" w:hAnsi="Titillium"/>
          <w:sz w:val="18"/>
          <w:szCs w:val="18"/>
          <w:lang w:eastAsia="en-US"/>
        </w:rPr>
      </w:pPr>
      <w:r>
        <w:rPr>
          <w:rFonts w:ascii="Titillium" w:eastAsia="SimSun" w:hAnsi="Titillium"/>
          <w:sz w:val="18"/>
          <w:szCs w:val="18"/>
          <w:lang w:eastAsia="en-US"/>
        </w:rPr>
        <w:t>redigere apposito verbale.</w:t>
      </w:r>
    </w:p>
    <w:p w14:paraId="77A392A7" w14:textId="482FC318" w:rsidR="00B64CC9" w:rsidRPr="00B76CCF" w:rsidRDefault="00B64CC9" w:rsidP="00B64CC9">
      <w:pPr>
        <w:spacing w:before="60" w:after="60"/>
      </w:pPr>
      <w:r w:rsidRPr="00B64CC9">
        <w:rPr>
          <w:rFonts w:ascii="Titillium" w:eastAsia="SimSun" w:hAnsi="Titillium"/>
          <w:bCs/>
          <w:iCs/>
          <w:sz w:val="18"/>
          <w:szCs w:val="18"/>
        </w:rPr>
        <w:t xml:space="preserve">Sono sottoposti alla verifica della documentazione amministrativa </w:t>
      </w:r>
      <w:r w:rsidR="00994C13">
        <w:rPr>
          <w:rFonts w:ascii="Titillium" w:eastAsia="SimSun" w:hAnsi="Titillium"/>
          <w:bCs/>
          <w:iCs/>
          <w:sz w:val="18"/>
          <w:szCs w:val="18"/>
        </w:rPr>
        <w:t xml:space="preserve">oltre al soggetto risultato </w:t>
      </w:r>
      <w:r w:rsidR="00994C13" w:rsidRPr="008F6C85">
        <w:rPr>
          <w:rFonts w:ascii="Titillium" w:eastAsia="SimSun" w:hAnsi="Titillium"/>
          <w:bCs/>
          <w:iCs/>
          <w:sz w:val="18"/>
          <w:szCs w:val="18"/>
        </w:rPr>
        <w:t xml:space="preserve">primo </w:t>
      </w:r>
      <w:r w:rsidRPr="008F6C85">
        <w:rPr>
          <w:rFonts w:ascii="Titillium" w:eastAsia="SimSun" w:hAnsi="Titillium"/>
          <w:bCs/>
          <w:iCs/>
          <w:sz w:val="18"/>
          <w:szCs w:val="18"/>
        </w:rPr>
        <w:t>anche</w:t>
      </w:r>
      <w:r w:rsidRPr="00B64CC9">
        <w:rPr>
          <w:rFonts w:ascii="Titillium" w:eastAsia="SimSun" w:hAnsi="Titillium"/>
          <w:bCs/>
          <w:iCs/>
          <w:sz w:val="18"/>
          <w:szCs w:val="18"/>
        </w:rPr>
        <w:t xml:space="preserve"> [</w:t>
      </w:r>
      <w:r w:rsidRPr="00B64CC9">
        <w:rPr>
          <w:rFonts w:ascii="Titillium" w:eastAsia="SimSun" w:hAnsi="Titillium"/>
          <w:b/>
          <w:bCs/>
          <w:i/>
          <w:iCs/>
          <w:sz w:val="18"/>
          <w:szCs w:val="18"/>
        </w:rPr>
        <w:t>Facoltativo</w:t>
      </w:r>
      <w:r w:rsidRPr="00B64CC9">
        <w:rPr>
          <w:rFonts w:ascii="Titillium" w:eastAsia="SimSun" w:hAnsi="Titillium"/>
          <w:bCs/>
          <w:iCs/>
          <w:sz w:val="18"/>
          <w:szCs w:val="18"/>
        </w:rPr>
        <w:t xml:space="preserve"> </w:t>
      </w:r>
      <w:r w:rsidRPr="00FE7AB7">
        <w:rPr>
          <w:rFonts w:ascii="Titillium" w:eastAsia="SimSun" w:hAnsi="Titillium"/>
          <w:bCs/>
          <w:i/>
          <w:iCs/>
          <w:sz w:val="18"/>
          <w:szCs w:val="18"/>
        </w:rPr>
        <w:t>il secondo in graduatoria e</w:t>
      </w:r>
      <w:r w:rsidRPr="00B64CC9">
        <w:rPr>
          <w:rFonts w:ascii="Titillium" w:eastAsia="SimSun" w:hAnsi="Titillium"/>
          <w:bCs/>
          <w:iCs/>
          <w:sz w:val="18"/>
          <w:szCs w:val="18"/>
        </w:rPr>
        <w:t xml:space="preserve">] n. … </w:t>
      </w:r>
      <w:r w:rsidRPr="00B64CC9">
        <w:rPr>
          <w:rFonts w:ascii="Titillium" w:eastAsia="SimSun" w:hAnsi="Titillium"/>
          <w:bCs/>
          <w:i/>
          <w:iCs/>
          <w:sz w:val="18"/>
          <w:szCs w:val="18"/>
        </w:rPr>
        <w:t>[</w:t>
      </w:r>
      <w:r w:rsidRPr="00B64CC9">
        <w:rPr>
          <w:rFonts w:ascii="Titillium" w:eastAsia="SimSun" w:hAnsi="Titillium"/>
          <w:bCs/>
          <w:iCs/>
          <w:sz w:val="18"/>
          <w:szCs w:val="18"/>
        </w:rPr>
        <w:t>i</w:t>
      </w:r>
      <w:r w:rsidRPr="00B64CC9">
        <w:rPr>
          <w:rFonts w:ascii="Titillium" w:eastAsia="SimSun" w:hAnsi="Titillium"/>
          <w:bCs/>
          <w:i/>
          <w:iCs/>
          <w:sz w:val="18"/>
          <w:szCs w:val="18"/>
        </w:rPr>
        <w:t>ndicare il n. di concorrenti che saranno sottoposti a controllo]</w:t>
      </w:r>
      <w:r w:rsidRPr="00B64CC9">
        <w:rPr>
          <w:rFonts w:ascii="Titillium" w:eastAsia="SimSun" w:hAnsi="Titillium"/>
          <w:bCs/>
          <w:iCs/>
          <w:sz w:val="18"/>
          <w:szCs w:val="18"/>
        </w:rPr>
        <w:t xml:space="preserve"> concorrenti, sorteggiati … </w:t>
      </w:r>
      <w:r w:rsidRPr="00B64CC9">
        <w:rPr>
          <w:rFonts w:ascii="Titillium" w:eastAsia="SimSun" w:hAnsi="Titillium"/>
          <w:bCs/>
          <w:i/>
          <w:iCs/>
          <w:sz w:val="18"/>
          <w:szCs w:val="18"/>
        </w:rPr>
        <w:t>[indicare le modalità del sorteggio ad esempio automaticamente mediante apposita funzione della piattaforma</w:t>
      </w:r>
      <w:r w:rsidRPr="00B64CC9">
        <w:rPr>
          <w:rFonts w:ascii="Titillium" w:eastAsia="SimSun" w:hAnsi="Titillium"/>
          <w:bCs/>
          <w:iCs/>
          <w:sz w:val="18"/>
          <w:szCs w:val="18"/>
        </w:rPr>
        <w:t>], ai sensi del</w:t>
      </w:r>
      <w:r w:rsidR="00F03728">
        <w:rPr>
          <w:rFonts w:ascii="Titillium" w:eastAsia="SimSun" w:hAnsi="Titillium"/>
          <w:bCs/>
          <w:iCs/>
          <w:sz w:val="18"/>
          <w:szCs w:val="18"/>
        </w:rPr>
        <w:t>l’articolo 71 del</w:t>
      </w:r>
      <w:r w:rsidRPr="00B64CC9">
        <w:rPr>
          <w:rFonts w:ascii="Titillium" w:eastAsia="SimSun" w:hAnsi="Titillium"/>
          <w:bCs/>
          <w:iCs/>
          <w:sz w:val="18"/>
          <w:szCs w:val="18"/>
        </w:rPr>
        <w:t xml:space="preserve"> decreto del Presidente della Repubblica n. 445/2000. </w:t>
      </w:r>
    </w:p>
    <w:p w14:paraId="3E4FEE30" w14:textId="77777777" w:rsidR="004C53A8" w:rsidRDefault="00870286">
      <w:pPr>
        <w:tabs>
          <w:tab w:val="left" w:pos="851"/>
        </w:tabs>
        <w:spacing w:before="60" w:after="60"/>
        <w:rPr>
          <w:rFonts w:ascii="Titillium" w:eastAsia="SimSun" w:hAnsi="Titillium"/>
          <w:sz w:val="18"/>
          <w:szCs w:val="18"/>
        </w:rPr>
      </w:pPr>
      <w:r w:rsidRPr="00B64CC9">
        <w:rPr>
          <w:rFonts w:ascii="Titillium" w:eastAsia="SimSun" w:hAnsi="Titillium"/>
          <w:sz w:val="18"/>
          <w:szCs w:val="18"/>
        </w:rPr>
        <w:t>Il RUP provvede a:</w:t>
      </w:r>
      <w:r>
        <w:rPr>
          <w:rFonts w:ascii="Titillium" w:eastAsia="SimSun" w:hAnsi="Titillium"/>
          <w:sz w:val="18"/>
          <w:szCs w:val="18"/>
        </w:rPr>
        <w:t xml:space="preserve"> </w:t>
      </w:r>
      <w:r>
        <w:rPr>
          <w:rFonts w:ascii="Titillium" w:eastAsia="SimSun" w:hAnsi="Titillium"/>
          <w:sz w:val="18"/>
          <w:szCs w:val="18"/>
        </w:rPr>
        <w:tab/>
        <w:t xml:space="preserve"> </w:t>
      </w:r>
    </w:p>
    <w:p w14:paraId="757CC03F" w14:textId="56EF2D43" w:rsidR="00006719" w:rsidRDefault="00870286" w:rsidP="009E32A5">
      <w:pPr>
        <w:pStyle w:val="Paragrafoelenco"/>
        <w:numPr>
          <w:ilvl w:val="0"/>
          <w:numId w:val="43"/>
        </w:numPr>
        <w:spacing w:before="60" w:after="60"/>
        <w:rPr>
          <w:rFonts w:ascii="Titillium" w:eastAsia="SimSun" w:hAnsi="Titillium"/>
          <w:sz w:val="18"/>
          <w:szCs w:val="18"/>
          <w:lang w:eastAsia="en-US"/>
        </w:rPr>
      </w:pPr>
      <w:r w:rsidRPr="00006719">
        <w:rPr>
          <w:rFonts w:ascii="Titillium" w:eastAsia="SimSun" w:hAnsi="Titillium"/>
          <w:sz w:val="18"/>
          <w:szCs w:val="18"/>
          <w:lang w:eastAsia="en-US"/>
        </w:rPr>
        <w:t>attivare la procedura di soccorso istruttorio di cui al precedente punto 14;</w:t>
      </w:r>
      <w:r w:rsidR="00006719">
        <w:rPr>
          <w:rFonts w:ascii="Titillium" w:eastAsia="SimSun" w:hAnsi="Titillium"/>
          <w:sz w:val="18"/>
          <w:szCs w:val="18"/>
          <w:lang w:eastAsia="en-US"/>
        </w:rPr>
        <w:t xml:space="preserve"> </w:t>
      </w:r>
    </w:p>
    <w:p w14:paraId="1E482141" w14:textId="0FFF150B" w:rsidR="00006719" w:rsidRDefault="00870286" w:rsidP="009E32A5">
      <w:pPr>
        <w:pStyle w:val="Paragrafoelenco"/>
        <w:numPr>
          <w:ilvl w:val="0"/>
          <w:numId w:val="43"/>
        </w:numPr>
        <w:spacing w:before="60" w:after="60"/>
        <w:rPr>
          <w:rFonts w:ascii="Titillium" w:eastAsia="SimSun" w:hAnsi="Titillium"/>
          <w:sz w:val="18"/>
          <w:szCs w:val="18"/>
        </w:rPr>
      </w:pPr>
      <w:r w:rsidRPr="00585A99">
        <w:rPr>
          <w:rFonts w:ascii="Titillium" w:eastAsia="SimSun" w:hAnsi="Titillium"/>
          <w:sz w:val="18"/>
          <w:szCs w:val="18"/>
          <w:lang w:eastAsia="en-US"/>
        </w:rPr>
        <w:t xml:space="preserve">adottare il provvedimento che determina le esclusioni e le ammissioni dalla procedura di gara, provvedendo altresì </w:t>
      </w:r>
      <w:r w:rsidR="00585A99" w:rsidRPr="009B76BD">
        <w:rPr>
          <w:rFonts w:ascii="Titillium" w:eastAsia="SimSun" w:hAnsi="Titillium"/>
          <w:sz w:val="18"/>
          <w:szCs w:val="18"/>
          <w:lang w:eastAsia="en-US"/>
        </w:rPr>
        <w:t>alla sua pubblicazione sul sito della stazione appaltante, nella sezione “Amministrazione trasparente” e alla sua comunicazione</w:t>
      </w:r>
      <w:r w:rsidR="00585A99" w:rsidRPr="009B76BD">
        <w:rPr>
          <w:rFonts w:ascii="Titillium" w:eastAsia="SimSun" w:hAnsi="Titillium"/>
          <w:sz w:val="18"/>
          <w:szCs w:val="18"/>
        </w:rPr>
        <w:t xml:space="preserve"> immediata e comunque entro un termine non superiore a cinque giorni</w:t>
      </w:r>
      <w:r w:rsidR="00006719">
        <w:rPr>
          <w:rFonts w:ascii="Titillium" w:eastAsia="SimSun" w:hAnsi="Titillium"/>
          <w:sz w:val="18"/>
          <w:szCs w:val="18"/>
        </w:rPr>
        <w:t>.</w:t>
      </w:r>
      <w:r w:rsidR="00006719" w:rsidRPr="009B76BD" w:rsidDel="00585A99">
        <w:rPr>
          <w:rFonts w:ascii="Titillium" w:eastAsia="SimSun" w:hAnsi="Titillium"/>
          <w:sz w:val="18"/>
          <w:szCs w:val="18"/>
        </w:rPr>
        <w:t xml:space="preserve"> </w:t>
      </w:r>
    </w:p>
    <w:p w14:paraId="0EFF0A0D" w14:textId="731430D0" w:rsidR="004C53A8" w:rsidRDefault="00B64CC9" w:rsidP="00254D96">
      <w:pPr>
        <w:pStyle w:val="Paragrafoelenco"/>
        <w:ind w:left="0"/>
        <w:rPr>
          <w:rFonts w:ascii="Titillium" w:eastAsia="SimSun" w:hAnsi="Titillium"/>
          <w:sz w:val="18"/>
          <w:szCs w:val="18"/>
        </w:rPr>
      </w:pPr>
      <w:r>
        <w:rPr>
          <w:rFonts w:ascii="Titillium" w:hAnsi="Titillium" w:cs="Calibri"/>
          <w:sz w:val="18"/>
          <w:szCs w:val="18"/>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6931414E" w14:textId="77777777" w:rsidR="004C53A8" w:rsidRDefault="00870286" w:rsidP="00601972">
      <w:pPr>
        <w:pStyle w:val="Titolo2"/>
        <w:numPr>
          <w:ilvl w:val="0"/>
          <w:numId w:val="27"/>
        </w:numPr>
        <w:ind w:left="357" w:hanging="357"/>
      </w:pPr>
      <w:bookmarkStart w:id="2127" w:name="_Toc484688358"/>
      <w:bookmarkStart w:id="2128" w:name="_Toc484605489"/>
      <w:bookmarkStart w:id="2129" w:name="_Toc484605365"/>
      <w:bookmarkStart w:id="2130" w:name="_Toc484526645"/>
      <w:bookmarkStart w:id="2131" w:name="_Toc484449150"/>
      <w:bookmarkStart w:id="2132" w:name="_Toc484449026"/>
      <w:bookmarkStart w:id="2133" w:name="_Toc484448902"/>
      <w:bookmarkStart w:id="2134" w:name="_Toc484448779"/>
      <w:bookmarkStart w:id="2135" w:name="_Toc484448655"/>
      <w:bookmarkStart w:id="2136" w:name="_Toc484448531"/>
      <w:bookmarkStart w:id="2137" w:name="_Toc484448407"/>
      <w:bookmarkStart w:id="2138" w:name="_Toc484448283"/>
      <w:bookmarkStart w:id="2139" w:name="_Toc484448159"/>
      <w:bookmarkStart w:id="2140" w:name="_Toc484440499"/>
      <w:bookmarkStart w:id="2141" w:name="_Toc484440139"/>
      <w:bookmarkStart w:id="2142" w:name="_Toc484440015"/>
      <w:bookmarkStart w:id="2143" w:name="_Toc484439892"/>
      <w:bookmarkStart w:id="2144" w:name="_Toc484438972"/>
      <w:bookmarkStart w:id="2145" w:name="_Toc484438848"/>
      <w:bookmarkStart w:id="2146" w:name="_Toc484438724"/>
      <w:bookmarkStart w:id="2147" w:name="_Toc484429149"/>
      <w:bookmarkStart w:id="2148" w:name="_Toc484428979"/>
      <w:bookmarkStart w:id="2149" w:name="_Toc484097805"/>
      <w:bookmarkStart w:id="2150" w:name="_Toc484011731"/>
      <w:bookmarkStart w:id="2151" w:name="_Toc484011256"/>
      <w:bookmarkStart w:id="2152" w:name="_Toc484011134"/>
      <w:bookmarkStart w:id="2153" w:name="_Toc484011012"/>
      <w:bookmarkStart w:id="2154" w:name="_Toc484010888"/>
      <w:bookmarkStart w:id="2155" w:name="_Toc484010766"/>
      <w:bookmarkStart w:id="2156" w:name="_Toc483907016"/>
      <w:bookmarkStart w:id="2157" w:name="_Toc483571638"/>
      <w:bookmarkStart w:id="2158" w:name="_Toc483571516"/>
      <w:bookmarkStart w:id="2159" w:name="_Toc483474085"/>
      <w:bookmarkStart w:id="2160" w:name="_Toc483401289"/>
      <w:bookmarkStart w:id="2161" w:name="_Toc483325811"/>
      <w:bookmarkStart w:id="2162" w:name="_Toc483316508"/>
      <w:bookmarkStart w:id="2163" w:name="_Toc483316377"/>
      <w:bookmarkStart w:id="2164" w:name="_Toc483316245"/>
      <w:bookmarkStart w:id="2165" w:name="_Toc483316040"/>
      <w:bookmarkStart w:id="2166" w:name="_Toc483302419"/>
      <w:bookmarkStart w:id="2167" w:name="_Toc483233702"/>
      <w:bookmarkStart w:id="2168" w:name="_Toc482979742"/>
      <w:bookmarkStart w:id="2169" w:name="_Toc482979644"/>
      <w:bookmarkStart w:id="2170" w:name="_Toc482979546"/>
      <w:bookmarkStart w:id="2171" w:name="_Toc482979438"/>
      <w:bookmarkStart w:id="2172" w:name="_Toc482979329"/>
      <w:bookmarkStart w:id="2173" w:name="_Toc482979220"/>
      <w:bookmarkStart w:id="2174" w:name="_Toc482979109"/>
      <w:bookmarkStart w:id="2175" w:name="_Toc482979001"/>
      <w:bookmarkStart w:id="2176" w:name="_Toc482978892"/>
      <w:bookmarkStart w:id="2177" w:name="_Toc482959773"/>
      <w:bookmarkStart w:id="2178" w:name="_Toc482959663"/>
      <w:bookmarkStart w:id="2179" w:name="_Toc482959553"/>
      <w:bookmarkStart w:id="2180" w:name="_Toc482712765"/>
      <w:bookmarkStart w:id="2181" w:name="_Toc482641319"/>
      <w:bookmarkStart w:id="2182" w:name="_Toc482633142"/>
      <w:bookmarkStart w:id="2183" w:name="_Toc482352301"/>
      <w:bookmarkStart w:id="2184" w:name="_Toc482352211"/>
      <w:bookmarkStart w:id="2185" w:name="_Toc482352121"/>
      <w:bookmarkStart w:id="2186" w:name="_Toc482352031"/>
      <w:bookmarkStart w:id="2187" w:name="_Toc482102167"/>
      <w:bookmarkStart w:id="2188" w:name="_Toc482102073"/>
      <w:bookmarkStart w:id="2189" w:name="_Toc482101978"/>
      <w:bookmarkStart w:id="2190" w:name="_Toc482101883"/>
      <w:bookmarkStart w:id="2191" w:name="_Toc482101790"/>
      <w:bookmarkStart w:id="2192" w:name="_Toc482101615"/>
      <w:bookmarkStart w:id="2193" w:name="_Toc482101500"/>
      <w:bookmarkStart w:id="2194" w:name="_Toc482101363"/>
      <w:bookmarkStart w:id="2195" w:name="_Toc482100937"/>
      <w:bookmarkStart w:id="2196" w:name="_Toc482100780"/>
      <w:bookmarkStart w:id="2197" w:name="_Toc482099063"/>
      <w:bookmarkStart w:id="2198" w:name="_Toc482097961"/>
      <w:bookmarkStart w:id="2199" w:name="_Toc482097769"/>
      <w:bookmarkStart w:id="2200" w:name="_Toc482097680"/>
      <w:bookmarkStart w:id="2201" w:name="_Toc482097591"/>
      <w:bookmarkStart w:id="2202" w:name="_Toc482025767"/>
      <w:bookmarkStart w:id="2203" w:name="_Toc485218347"/>
      <w:bookmarkStart w:id="2204" w:name="_Toc484688912"/>
      <w:bookmarkStart w:id="2205" w:name="_Toc484688357"/>
      <w:bookmarkStart w:id="2206" w:name="_Toc484605488"/>
      <w:bookmarkStart w:id="2207" w:name="_Toc484605364"/>
      <w:bookmarkStart w:id="2208" w:name="_Toc484526644"/>
      <w:bookmarkStart w:id="2209" w:name="_Toc484449149"/>
      <w:bookmarkStart w:id="2210" w:name="_Toc484449025"/>
      <w:bookmarkStart w:id="2211" w:name="_Toc484448901"/>
      <w:bookmarkStart w:id="2212" w:name="_Toc484448778"/>
      <w:bookmarkStart w:id="2213" w:name="_Toc484448654"/>
      <w:bookmarkStart w:id="2214" w:name="_Toc484448530"/>
      <w:bookmarkStart w:id="2215" w:name="_Toc484448406"/>
      <w:bookmarkStart w:id="2216" w:name="_Toc484448282"/>
      <w:bookmarkStart w:id="2217" w:name="_Toc484448158"/>
      <w:bookmarkStart w:id="2218" w:name="_Toc484440498"/>
      <w:bookmarkStart w:id="2219" w:name="_Toc484440138"/>
      <w:bookmarkStart w:id="2220" w:name="_Toc484440014"/>
      <w:bookmarkStart w:id="2221" w:name="_Toc484439891"/>
      <w:bookmarkStart w:id="2222" w:name="_Toc484438971"/>
      <w:bookmarkStart w:id="2223" w:name="_Toc484438847"/>
      <w:bookmarkStart w:id="2224" w:name="_Toc484438723"/>
      <w:bookmarkStart w:id="2225" w:name="_Toc484429148"/>
      <w:bookmarkStart w:id="2226" w:name="_Toc484428978"/>
      <w:bookmarkStart w:id="2227" w:name="_Toc484097804"/>
      <w:bookmarkStart w:id="2228" w:name="_Toc484011730"/>
      <w:bookmarkStart w:id="2229" w:name="_Toc484011255"/>
      <w:bookmarkStart w:id="2230" w:name="_Toc484011133"/>
      <w:bookmarkStart w:id="2231" w:name="_Toc484011011"/>
      <w:bookmarkStart w:id="2232" w:name="_Toc484010887"/>
      <w:bookmarkStart w:id="2233" w:name="_Toc484010765"/>
      <w:bookmarkStart w:id="2234" w:name="_Toc483907015"/>
      <w:bookmarkStart w:id="2235" w:name="_Toc483571637"/>
      <w:bookmarkStart w:id="2236" w:name="_Toc483571515"/>
      <w:bookmarkStart w:id="2237" w:name="_Toc483474084"/>
      <w:bookmarkStart w:id="2238" w:name="_Toc483401288"/>
      <w:bookmarkStart w:id="2239" w:name="_Toc483325810"/>
      <w:bookmarkStart w:id="2240" w:name="_Toc483316507"/>
      <w:bookmarkStart w:id="2241" w:name="_Toc483316376"/>
      <w:bookmarkStart w:id="2242" w:name="_Toc483316244"/>
      <w:bookmarkStart w:id="2243" w:name="_Toc483316039"/>
      <w:bookmarkStart w:id="2244" w:name="_Toc483302418"/>
      <w:bookmarkStart w:id="2245" w:name="_Toc483233701"/>
      <w:bookmarkStart w:id="2246" w:name="_Toc482979741"/>
      <w:bookmarkStart w:id="2247" w:name="_Toc482979643"/>
      <w:bookmarkStart w:id="2248" w:name="_Toc482979545"/>
      <w:bookmarkStart w:id="2249" w:name="_Toc482979437"/>
      <w:bookmarkStart w:id="2250" w:name="_Toc482979328"/>
      <w:bookmarkStart w:id="2251" w:name="_Toc482979219"/>
      <w:bookmarkStart w:id="2252" w:name="_Toc482979108"/>
      <w:bookmarkStart w:id="2253" w:name="_Toc482979000"/>
      <w:bookmarkStart w:id="2254" w:name="_Toc482978891"/>
      <w:bookmarkStart w:id="2255" w:name="_Toc482959772"/>
      <w:bookmarkStart w:id="2256" w:name="_Toc482959662"/>
      <w:bookmarkStart w:id="2257" w:name="_Toc482959552"/>
      <w:bookmarkStart w:id="2258" w:name="_Toc482712764"/>
      <w:bookmarkStart w:id="2259" w:name="_Toc482641318"/>
      <w:bookmarkStart w:id="2260" w:name="_Toc482633141"/>
      <w:bookmarkStart w:id="2261" w:name="_Toc482352300"/>
      <w:bookmarkStart w:id="2262" w:name="_Toc482352210"/>
      <w:bookmarkStart w:id="2263" w:name="_Toc482352120"/>
      <w:bookmarkStart w:id="2264" w:name="_Toc482352030"/>
      <w:bookmarkStart w:id="2265" w:name="_Toc482102166"/>
      <w:bookmarkStart w:id="2266" w:name="_Toc482102072"/>
      <w:bookmarkStart w:id="2267" w:name="_Toc482101977"/>
      <w:bookmarkStart w:id="2268" w:name="_Toc482101882"/>
      <w:bookmarkStart w:id="2269" w:name="_Toc482101789"/>
      <w:bookmarkStart w:id="2270" w:name="_Toc482101614"/>
      <w:bookmarkStart w:id="2271" w:name="_Toc482101499"/>
      <w:bookmarkStart w:id="2272" w:name="_Toc482101362"/>
      <w:bookmarkStart w:id="2273" w:name="_Toc482100936"/>
      <w:bookmarkStart w:id="2274" w:name="_Toc482100779"/>
      <w:bookmarkStart w:id="2275" w:name="_Toc482099062"/>
      <w:bookmarkStart w:id="2276" w:name="_Toc482097960"/>
      <w:bookmarkStart w:id="2277" w:name="_Toc482097768"/>
      <w:bookmarkStart w:id="2278" w:name="_Toc482097679"/>
      <w:bookmarkStart w:id="2279" w:name="_Toc482097590"/>
      <w:bookmarkStart w:id="2280" w:name="_Toc482025766"/>
      <w:bookmarkStart w:id="2281" w:name="_Toc485218346"/>
      <w:bookmarkStart w:id="2282" w:name="_Toc484688911"/>
      <w:bookmarkStart w:id="2283" w:name="_Toc484688356"/>
      <w:bookmarkStart w:id="2284" w:name="_Toc484605487"/>
      <w:bookmarkStart w:id="2285" w:name="_Toc484605363"/>
      <w:bookmarkStart w:id="2286" w:name="_Toc484526643"/>
      <w:bookmarkStart w:id="2287" w:name="_Toc484449148"/>
      <w:bookmarkStart w:id="2288" w:name="_Toc484449024"/>
      <w:bookmarkStart w:id="2289" w:name="_Toc484448900"/>
      <w:bookmarkStart w:id="2290" w:name="_Toc484448777"/>
      <w:bookmarkStart w:id="2291" w:name="_Toc484448653"/>
      <w:bookmarkStart w:id="2292" w:name="_Toc484448529"/>
      <w:bookmarkStart w:id="2293" w:name="_Toc484448405"/>
      <w:bookmarkStart w:id="2294" w:name="_Toc484448281"/>
      <w:bookmarkStart w:id="2295" w:name="_Toc484448157"/>
      <w:bookmarkStart w:id="2296" w:name="_Toc484440497"/>
      <w:bookmarkStart w:id="2297" w:name="_Toc484440137"/>
      <w:bookmarkStart w:id="2298" w:name="_Toc484440013"/>
      <w:bookmarkStart w:id="2299" w:name="_Toc484439890"/>
      <w:bookmarkStart w:id="2300" w:name="_Toc484438970"/>
      <w:bookmarkStart w:id="2301" w:name="_Toc484438846"/>
      <w:bookmarkStart w:id="2302" w:name="_Toc484438722"/>
      <w:bookmarkStart w:id="2303" w:name="_Toc484429147"/>
      <w:bookmarkStart w:id="2304" w:name="_Toc484428977"/>
      <w:bookmarkStart w:id="2305" w:name="_Toc484097803"/>
      <w:bookmarkStart w:id="2306" w:name="_Toc484011729"/>
      <w:bookmarkStart w:id="2307" w:name="_Toc484011254"/>
      <w:bookmarkStart w:id="2308" w:name="_Toc484011132"/>
      <w:bookmarkStart w:id="2309" w:name="_Toc484011010"/>
      <w:bookmarkStart w:id="2310" w:name="_Toc484010886"/>
      <w:bookmarkStart w:id="2311" w:name="_Toc484010764"/>
      <w:bookmarkStart w:id="2312" w:name="_Toc483907014"/>
      <w:bookmarkStart w:id="2313" w:name="_Toc483571636"/>
      <w:bookmarkStart w:id="2314" w:name="_Toc483571514"/>
      <w:bookmarkStart w:id="2315" w:name="_Toc483474083"/>
      <w:bookmarkStart w:id="2316" w:name="_Toc483401287"/>
      <w:bookmarkStart w:id="2317" w:name="_Toc483325809"/>
      <w:bookmarkStart w:id="2318" w:name="_Toc483316506"/>
      <w:bookmarkStart w:id="2319" w:name="_Toc483316375"/>
      <w:bookmarkStart w:id="2320" w:name="_Toc483316243"/>
      <w:bookmarkStart w:id="2321" w:name="_Toc483316038"/>
      <w:bookmarkStart w:id="2322" w:name="_Toc483302417"/>
      <w:bookmarkStart w:id="2323" w:name="_Toc483233700"/>
      <w:bookmarkStart w:id="2324" w:name="_Toc482979740"/>
      <w:bookmarkStart w:id="2325" w:name="_Toc482979642"/>
      <w:bookmarkStart w:id="2326" w:name="_Toc482979544"/>
      <w:bookmarkStart w:id="2327" w:name="_Toc482979436"/>
      <w:bookmarkStart w:id="2328" w:name="_Toc482979327"/>
      <w:bookmarkStart w:id="2329" w:name="_Toc482979218"/>
      <w:bookmarkStart w:id="2330" w:name="_Toc482979107"/>
      <w:bookmarkStart w:id="2331" w:name="_Toc482978999"/>
      <w:bookmarkStart w:id="2332" w:name="_Toc482978890"/>
      <w:bookmarkStart w:id="2333" w:name="_Toc482959771"/>
      <w:bookmarkStart w:id="2334" w:name="_Toc482959661"/>
      <w:bookmarkStart w:id="2335" w:name="_Toc482959551"/>
      <w:bookmarkStart w:id="2336" w:name="_Toc482712763"/>
      <w:bookmarkStart w:id="2337" w:name="_Toc482641317"/>
      <w:bookmarkStart w:id="2338" w:name="_Toc482633140"/>
      <w:bookmarkStart w:id="2339" w:name="_Toc482352299"/>
      <w:bookmarkStart w:id="2340" w:name="_Toc482352209"/>
      <w:bookmarkStart w:id="2341" w:name="_Toc482352119"/>
      <w:bookmarkStart w:id="2342" w:name="_Toc482352029"/>
      <w:bookmarkStart w:id="2343" w:name="_Toc482102165"/>
      <w:bookmarkStart w:id="2344" w:name="_Toc482102071"/>
      <w:bookmarkStart w:id="2345" w:name="_Toc482101976"/>
      <w:bookmarkStart w:id="2346" w:name="_Toc482101881"/>
      <w:bookmarkStart w:id="2347" w:name="_Toc482101788"/>
      <w:bookmarkStart w:id="2348" w:name="_Toc482101613"/>
      <w:bookmarkStart w:id="2349" w:name="_Toc482101498"/>
      <w:bookmarkStart w:id="2350" w:name="_Toc482101361"/>
      <w:bookmarkStart w:id="2351" w:name="_Toc482100935"/>
      <w:bookmarkStart w:id="2352" w:name="_Toc482100778"/>
      <w:bookmarkStart w:id="2353" w:name="_Toc482099061"/>
      <w:bookmarkStart w:id="2354" w:name="_Toc482097959"/>
      <w:bookmarkStart w:id="2355" w:name="_Toc482097767"/>
      <w:bookmarkStart w:id="2356" w:name="_Toc482097678"/>
      <w:bookmarkStart w:id="2357" w:name="_Toc482097589"/>
      <w:bookmarkStart w:id="2358" w:name="_Toc482025765"/>
      <w:bookmarkStart w:id="2359" w:name="_Toc485218345"/>
      <w:bookmarkStart w:id="2360" w:name="_Toc484688910"/>
      <w:bookmarkStart w:id="2361" w:name="_Toc484688355"/>
      <w:bookmarkStart w:id="2362" w:name="_Toc484605486"/>
      <w:bookmarkStart w:id="2363" w:name="_Toc484605362"/>
      <w:bookmarkStart w:id="2364" w:name="_Toc484526642"/>
      <w:bookmarkStart w:id="2365" w:name="_Toc484449147"/>
      <w:bookmarkStart w:id="2366" w:name="_Toc484449023"/>
      <w:bookmarkStart w:id="2367" w:name="_Toc484448899"/>
      <w:bookmarkStart w:id="2368" w:name="_Toc484448776"/>
      <w:bookmarkStart w:id="2369" w:name="_Toc484448652"/>
      <w:bookmarkStart w:id="2370" w:name="_Toc484448528"/>
      <w:bookmarkStart w:id="2371" w:name="_Toc484448404"/>
      <w:bookmarkStart w:id="2372" w:name="_Toc484448280"/>
      <w:bookmarkStart w:id="2373" w:name="_Toc484448156"/>
      <w:bookmarkStart w:id="2374" w:name="_Toc484440496"/>
      <w:bookmarkStart w:id="2375" w:name="_Toc484440136"/>
      <w:bookmarkStart w:id="2376" w:name="_Toc484440012"/>
      <w:bookmarkStart w:id="2377" w:name="_Toc484439889"/>
      <w:bookmarkStart w:id="2378" w:name="_Toc484438969"/>
      <w:bookmarkStart w:id="2379" w:name="_Toc484438845"/>
      <w:bookmarkStart w:id="2380" w:name="_Toc484438721"/>
      <w:bookmarkStart w:id="2381" w:name="_Toc484429146"/>
      <w:bookmarkStart w:id="2382" w:name="_Toc484428976"/>
      <w:bookmarkStart w:id="2383" w:name="_Toc484097802"/>
      <w:bookmarkStart w:id="2384" w:name="_Toc484011728"/>
      <w:bookmarkStart w:id="2385" w:name="_Toc484011253"/>
      <w:bookmarkStart w:id="2386" w:name="_Toc484011131"/>
      <w:bookmarkStart w:id="2387" w:name="_Toc484011009"/>
      <w:bookmarkStart w:id="2388" w:name="_Toc484010885"/>
      <w:bookmarkStart w:id="2389" w:name="_Toc484010763"/>
      <w:bookmarkStart w:id="2390" w:name="_Toc483907013"/>
      <w:bookmarkStart w:id="2391" w:name="_Toc483571635"/>
      <w:bookmarkStart w:id="2392" w:name="_Toc483571513"/>
      <w:bookmarkStart w:id="2393" w:name="_Toc483474082"/>
      <w:bookmarkStart w:id="2394" w:name="_Toc483401286"/>
      <w:bookmarkStart w:id="2395" w:name="_Toc483325808"/>
      <w:bookmarkStart w:id="2396" w:name="_Toc483316505"/>
      <w:bookmarkStart w:id="2397" w:name="_Toc483316374"/>
      <w:bookmarkStart w:id="2398" w:name="_Toc483316242"/>
      <w:bookmarkStart w:id="2399" w:name="_Toc483316037"/>
      <w:bookmarkStart w:id="2400" w:name="_Toc483302416"/>
      <w:bookmarkStart w:id="2401" w:name="_Toc483233699"/>
      <w:bookmarkStart w:id="2402" w:name="_Toc482979739"/>
      <w:bookmarkStart w:id="2403" w:name="_Toc482979641"/>
      <w:bookmarkStart w:id="2404" w:name="_Toc482979543"/>
      <w:bookmarkStart w:id="2405" w:name="_Toc482979435"/>
      <w:bookmarkStart w:id="2406" w:name="_Toc482979326"/>
      <w:bookmarkStart w:id="2407" w:name="_Toc482979217"/>
      <w:bookmarkStart w:id="2408" w:name="_Toc482979106"/>
      <w:bookmarkStart w:id="2409" w:name="_Toc482978998"/>
      <w:bookmarkStart w:id="2410" w:name="_Toc482978889"/>
      <w:bookmarkStart w:id="2411" w:name="_Toc482959770"/>
      <w:bookmarkStart w:id="2412" w:name="_Toc482959660"/>
      <w:bookmarkStart w:id="2413" w:name="_Toc482959550"/>
      <w:bookmarkStart w:id="2414" w:name="_Toc482712762"/>
      <w:bookmarkStart w:id="2415" w:name="_Toc482641316"/>
      <w:bookmarkStart w:id="2416" w:name="_Toc482633139"/>
      <w:bookmarkStart w:id="2417" w:name="_Toc482352298"/>
      <w:bookmarkStart w:id="2418" w:name="_Toc482352208"/>
      <w:bookmarkStart w:id="2419" w:name="_Toc482352118"/>
      <w:bookmarkStart w:id="2420" w:name="_Toc482352028"/>
      <w:bookmarkStart w:id="2421" w:name="_Toc482102164"/>
      <w:bookmarkStart w:id="2422" w:name="_Toc482102070"/>
      <w:bookmarkStart w:id="2423" w:name="_Toc482101975"/>
      <w:bookmarkStart w:id="2424" w:name="_Toc482101880"/>
      <w:bookmarkStart w:id="2425" w:name="_Toc482101787"/>
      <w:bookmarkStart w:id="2426" w:name="_Toc482101612"/>
      <w:bookmarkStart w:id="2427" w:name="_Toc482101497"/>
      <w:bookmarkStart w:id="2428" w:name="_Toc482101360"/>
      <w:bookmarkStart w:id="2429" w:name="_Toc482100934"/>
      <w:bookmarkStart w:id="2430" w:name="_Toc482100777"/>
      <w:bookmarkStart w:id="2431" w:name="_Toc482099060"/>
      <w:bookmarkStart w:id="2432" w:name="_Toc482097958"/>
      <w:bookmarkStart w:id="2433" w:name="_Toc482097766"/>
      <w:bookmarkStart w:id="2434" w:name="_Toc482097677"/>
      <w:bookmarkStart w:id="2435" w:name="_Toc482097588"/>
      <w:bookmarkStart w:id="2436" w:name="_Toc482025764"/>
      <w:bookmarkStart w:id="2437" w:name="_Toc485218344"/>
      <w:bookmarkStart w:id="2438" w:name="_Toc484688909"/>
      <w:bookmarkStart w:id="2439" w:name="_Toc484688354"/>
      <w:bookmarkStart w:id="2440" w:name="_Toc484605485"/>
      <w:bookmarkStart w:id="2441" w:name="_Toc484605361"/>
      <w:bookmarkStart w:id="2442" w:name="_Toc484526641"/>
      <w:bookmarkStart w:id="2443" w:name="_Toc484449146"/>
      <w:bookmarkStart w:id="2444" w:name="_Toc484449022"/>
      <w:bookmarkStart w:id="2445" w:name="_Toc484448898"/>
      <w:bookmarkStart w:id="2446" w:name="_Toc484448775"/>
      <w:bookmarkStart w:id="2447" w:name="_Toc484448651"/>
      <w:bookmarkStart w:id="2448" w:name="_Toc484448527"/>
      <w:bookmarkStart w:id="2449" w:name="_Toc484448403"/>
      <w:bookmarkStart w:id="2450" w:name="_Toc484448279"/>
      <w:bookmarkStart w:id="2451" w:name="_Toc484448155"/>
      <w:bookmarkStart w:id="2452" w:name="_Toc484440495"/>
      <w:bookmarkStart w:id="2453" w:name="_Toc484440135"/>
      <w:bookmarkStart w:id="2454" w:name="_Toc484440011"/>
      <w:bookmarkStart w:id="2455" w:name="_Toc484439888"/>
      <w:bookmarkStart w:id="2456" w:name="_Toc484438968"/>
      <w:bookmarkStart w:id="2457" w:name="_Toc484438844"/>
      <w:bookmarkStart w:id="2458" w:name="_Toc484438720"/>
      <w:bookmarkStart w:id="2459" w:name="_Toc484429145"/>
      <w:bookmarkStart w:id="2460" w:name="_Toc484428975"/>
      <w:bookmarkStart w:id="2461" w:name="_Toc484097801"/>
      <w:bookmarkStart w:id="2462" w:name="_Toc484011727"/>
      <w:bookmarkStart w:id="2463" w:name="_Toc484011252"/>
      <w:bookmarkStart w:id="2464" w:name="_Toc484011130"/>
      <w:bookmarkStart w:id="2465" w:name="_Toc484011008"/>
      <w:bookmarkStart w:id="2466" w:name="_Toc484010884"/>
      <w:bookmarkStart w:id="2467" w:name="_Toc484010762"/>
      <w:bookmarkStart w:id="2468" w:name="_Toc483907012"/>
      <w:bookmarkStart w:id="2469" w:name="_Toc483571634"/>
      <w:bookmarkStart w:id="2470" w:name="_Toc483571512"/>
      <w:bookmarkStart w:id="2471" w:name="_Toc483474081"/>
      <w:bookmarkStart w:id="2472" w:name="_Toc483401285"/>
      <w:bookmarkStart w:id="2473" w:name="_Toc483325807"/>
      <w:bookmarkStart w:id="2474" w:name="_Toc483316504"/>
      <w:bookmarkStart w:id="2475" w:name="_Toc483316373"/>
      <w:bookmarkStart w:id="2476" w:name="_Toc483316241"/>
      <w:bookmarkStart w:id="2477" w:name="_Toc483316036"/>
      <w:bookmarkStart w:id="2478" w:name="_Toc483302415"/>
      <w:bookmarkStart w:id="2479" w:name="_Toc483233698"/>
      <w:bookmarkStart w:id="2480" w:name="_Toc482979738"/>
      <w:bookmarkStart w:id="2481" w:name="_Toc482979640"/>
      <w:bookmarkStart w:id="2482" w:name="_Toc482979542"/>
      <w:bookmarkStart w:id="2483" w:name="_Toc482979434"/>
      <w:bookmarkStart w:id="2484" w:name="_Toc482979325"/>
      <w:bookmarkStart w:id="2485" w:name="_Toc482979216"/>
      <w:bookmarkStart w:id="2486" w:name="_Toc482979105"/>
      <w:bookmarkStart w:id="2487" w:name="_Toc482978997"/>
      <w:bookmarkStart w:id="2488" w:name="_Toc482978888"/>
      <w:bookmarkStart w:id="2489" w:name="_Toc482959769"/>
      <w:bookmarkStart w:id="2490" w:name="_Toc482959659"/>
      <w:bookmarkStart w:id="2491" w:name="_Toc482959549"/>
      <w:bookmarkStart w:id="2492" w:name="_Toc482712761"/>
      <w:bookmarkStart w:id="2493" w:name="_Toc482641315"/>
      <w:bookmarkStart w:id="2494" w:name="_Toc482633138"/>
      <w:bookmarkStart w:id="2495" w:name="_Toc482352297"/>
      <w:bookmarkStart w:id="2496" w:name="_Toc482352207"/>
      <w:bookmarkStart w:id="2497" w:name="_Toc482352117"/>
      <w:bookmarkStart w:id="2498" w:name="_Toc482352027"/>
      <w:bookmarkStart w:id="2499" w:name="_Toc482102163"/>
      <w:bookmarkStart w:id="2500" w:name="_Toc482102069"/>
      <w:bookmarkStart w:id="2501" w:name="_Toc482101974"/>
      <w:bookmarkStart w:id="2502" w:name="_Toc482101879"/>
      <w:bookmarkStart w:id="2503" w:name="_Toc482101786"/>
      <w:bookmarkStart w:id="2504" w:name="_Toc482101611"/>
      <w:bookmarkStart w:id="2505" w:name="_Toc482101496"/>
      <w:bookmarkStart w:id="2506" w:name="_Toc482101359"/>
      <w:bookmarkStart w:id="2507" w:name="_Toc482100933"/>
      <w:bookmarkStart w:id="2508" w:name="_Toc482100776"/>
      <w:bookmarkStart w:id="2509" w:name="_Toc482099059"/>
      <w:bookmarkStart w:id="2510" w:name="_Toc482097957"/>
      <w:bookmarkStart w:id="2511" w:name="_Toc482097765"/>
      <w:bookmarkStart w:id="2512" w:name="_Toc482097676"/>
      <w:bookmarkStart w:id="2513" w:name="_Toc482097587"/>
      <w:bookmarkStart w:id="2514" w:name="_Toc482025763"/>
      <w:bookmarkStart w:id="2515" w:name="_Toc485218343"/>
      <w:bookmarkStart w:id="2516" w:name="_Toc484688908"/>
      <w:bookmarkStart w:id="2517" w:name="_Toc484688353"/>
      <w:bookmarkStart w:id="2518" w:name="_Toc484605484"/>
      <w:bookmarkStart w:id="2519" w:name="_Toc484605360"/>
      <w:bookmarkStart w:id="2520" w:name="_Toc484526640"/>
      <w:bookmarkStart w:id="2521" w:name="_Toc484449145"/>
      <w:bookmarkStart w:id="2522" w:name="_Toc484449021"/>
      <w:bookmarkStart w:id="2523" w:name="_Toc484448897"/>
      <w:bookmarkStart w:id="2524" w:name="_Toc484448774"/>
      <w:bookmarkStart w:id="2525" w:name="_Toc484448650"/>
      <w:bookmarkStart w:id="2526" w:name="_Toc484448526"/>
      <w:bookmarkStart w:id="2527" w:name="_Toc484448402"/>
      <w:bookmarkStart w:id="2528" w:name="_Toc484448278"/>
      <w:bookmarkStart w:id="2529" w:name="_Toc484448154"/>
      <w:bookmarkStart w:id="2530" w:name="_Toc484440494"/>
      <w:bookmarkStart w:id="2531" w:name="_Toc484440134"/>
      <w:bookmarkStart w:id="2532" w:name="_Toc484440010"/>
      <w:bookmarkStart w:id="2533" w:name="_Toc484439887"/>
      <w:bookmarkStart w:id="2534" w:name="_Toc484438967"/>
      <w:bookmarkStart w:id="2535" w:name="_Toc484438843"/>
      <w:bookmarkStart w:id="2536" w:name="_Toc484438719"/>
      <w:bookmarkStart w:id="2537" w:name="_Toc484429144"/>
      <w:bookmarkStart w:id="2538" w:name="_Toc484428974"/>
      <w:bookmarkStart w:id="2539" w:name="_Toc484097800"/>
      <w:bookmarkStart w:id="2540" w:name="_Toc484011726"/>
      <w:bookmarkStart w:id="2541" w:name="_Toc484011251"/>
      <w:bookmarkStart w:id="2542" w:name="_Toc484011129"/>
      <w:bookmarkStart w:id="2543" w:name="_Toc484011007"/>
      <w:bookmarkStart w:id="2544" w:name="_Toc484010883"/>
      <w:bookmarkStart w:id="2545" w:name="_Toc484010761"/>
      <w:bookmarkStart w:id="2546" w:name="_Toc483907011"/>
      <w:bookmarkStart w:id="2547" w:name="_Toc483571633"/>
      <w:bookmarkStart w:id="2548" w:name="_Toc483571511"/>
      <w:bookmarkStart w:id="2549" w:name="_Toc483474080"/>
      <w:bookmarkStart w:id="2550" w:name="_Toc483401284"/>
      <w:bookmarkStart w:id="2551" w:name="_Toc483325806"/>
      <w:bookmarkStart w:id="2552" w:name="_Toc483316503"/>
      <w:bookmarkStart w:id="2553" w:name="_Toc483316372"/>
      <w:bookmarkStart w:id="2554" w:name="_Toc483316240"/>
      <w:bookmarkStart w:id="2555" w:name="_Toc483316035"/>
      <w:bookmarkStart w:id="2556" w:name="_Toc483302414"/>
      <w:bookmarkStart w:id="2557" w:name="_Toc483233697"/>
      <w:bookmarkStart w:id="2558" w:name="_Toc482979737"/>
      <w:bookmarkStart w:id="2559" w:name="_Toc482979639"/>
      <w:bookmarkStart w:id="2560" w:name="_Toc482979541"/>
      <w:bookmarkStart w:id="2561" w:name="_Toc482979433"/>
      <w:bookmarkStart w:id="2562" w:name="_Toc482979324"/>
      <w:bookmarkStart w:id="2563" w:name="_Toc482979215"/>
      <w:bookmarkStart w:id="2564" w:name="_Toc482979104"/>
      <w:bookmarkStart w:id="2565" w:name="_Toc482978996"/>
      <w:bookmarkStart w:id="2566" w:name="_Toc482978887"/>
      <w:bookmarkStart w:id="2567" w:name="_Toc482959768"/>
      <w:bookmarkStart w:id="2568" w:name="_Toc482959658"/>
      <w:bookmarkStart w:id="2569" w:name="_Toc482959548"/>
      <w:bookmarkStart w:id="2570" w:name="_Toc482712760"/>
      <w:bookmarkStart w:id="2571" w:name="_Toc482641314"/>
      <w:bookmarkStart w:id="2572" w:name="_Toc482633137"/>
      <w:bookmarkStart w:id="2573" w:name="_Toc482352296"/>
      <w:bookmarkStart w:id="2574" w:name="_Toc482352206"/>
      <w:bookmarkStart w:id="2575" w:name="_Toc482352116"/>
      <w:bookmarkStart w:id="2576" w:name="_Toc482352026"/>
      <w:bookmarkStart w:id="2577" w:name="_Toc482102162"/>
      <w:bookmarkStart w:id="2578" w:name="_Toc482102068"/>
      <w:bookmarkStart w:id="2579" w:name="_Toc482101973"/>
      <w:bookmarkStart w:id="2580" w:name="_Toc482101878"/>
      <w:bookmarkStart w:id="2581" w:name="_Toc482101785"/>
      <w:bookmarkStart w:id="2582" w:name="_Toc482101610"/>
      <w:bookmarkStart w:id="2583" w:name="_Toc482101495"/>
      <w:bookmarkStart w:id="2584" w:name="_Toc482101358"/>
      <w:bookmarkStart w:id="2585" w:name="_Toc482100932"/>
      <w:bookmarkStart w:id="2586" w:name="_Toc482100775"/>
      <w:bookmarkStart w:id="2587" w:name="_Toc482099058"/>
      <w:bookmarkStart w:id="2588" w:name="_Toc482097956"/>
      <w:bookmarkStart w:id="2589" w:name="_Toc482097764"/>
      <w:bookmarkStart w:id="2590" w:name="_Toc482097675"/>
      <w:bookmarkStart w:id="2591" w:name="_Toc482097586"/>
      <w:bookmarkStart w:id="2592" w:name="_Toc482025762"/>
      <w:bookmarkStart w:id="2593" w:name="_Toc485218342"/>
      <w:bookmarkStart w:id="2594" w:name="_Toc484688907"/>
      <w:bookmarkStart w:id="2595" w:name="_Toc484688352"/>
      <w:bookmarkStart w:id="2596" w:name="_Toc484605483"/>
      <w:bookmarkStart w:id="2597" w:name="_Toc484605359"/>
      <w:bookmarkStart w:id="2598" w:name="_Toc484526639"/>
      <w:bookmarkStart w:id="2599" w:name="_Toc484449144"/>
      <w:bookmarkStart w:id="2600" w:name="_Toc484449020"/>
      <w:bookmarkStart w:id="2601" w:name="_Toc484448896"/>
      <w:bookmarkStart w:id="2602" w:name="_Toc484448773"/>
      <w:bookmarkStart w:id="2603" w:name="_Toc484448649"/>
      <w:bookmarkStart w:id="2604" w:name="_Toc484448525"/>
      <w:bookmarkStart w:id="2605" w:name="_Toc484448401"/>
      <w:bookmarkStart w:id="2606" w:name="_Toc484448277"/>
      <w:bookmarkStart w:id="2607" w:name="_Toc484448153"/>
      <w:bookmarkStart w:id="2608" w:name="_Toc484440493"/>
      <w:bookmarkStart w:id="2609" w:name="_Toc484440133"/>
      <w:bookmarkStart w:id="2610" w:name="_Toc484440009"/>
      <w:bookmarkStart w:id="2611" w:name="_Toc484439886"/>
      <w:bookmarkStart w:id="2612" w:name="_Toc484438966"/>
      <w:bookmarkStart w:id="2613" w:name="_Toc484438842"/>
      <w:bookmarkStart w:id="2614" w:name="_Toc484438718"/>
      <w:bookmarkStart w:id="2615" w:name="_Toc484429143"/>
      <w:bookmarkStart w:id="2616" w:name="_Toc484428973"/>
      <w:bookmarkStart w:id="2617" w:name="_Toc484097799"/>
      <w:bookmarkStart w:id="2618" w:name="_Toc484011725"/>
      <w:bookmarkStart w:id="2619" w:name="_Toc484011250"/>
      <w:bookmarkStart w:id="2620" w:name="_Toc484011128"/>
      <w:bookmarkStart w:id="2621" w:name="_Toc484011006"/>
      <w:bookmarkStart w:id="2622" w:name="_Toc484010882"/>
      <w:bookmarkStart w:id="2623" w:name="_Toc484010760"/>
      <w:bookmarkStart w:id="2624" w:name="_Toc483907010"/>
      <w:bookmarkStart w:id="2625" w:name="_Toc483571632"/>
      <w:bookmarkStart w:id="2626" w:name="_Toc483571510"/>
      <w:bookmarkStart w:id="2627" w:name="_Toc483474079"/>
      <w:bookmarkStart w:id="2628" w:name="_Toc483401283"/>
      <w:bookmarkStart w:id="2629" w:name="_Toc483325805"/>
      <w:bookmarkStart w:id="2630" w:name="_Toc483316502"/>
      <w:bookmarkStart w:id="2631" w:name="_Toc483316371"/>
      <w:bookmarkStart w:id="2632" w:name="_Toc483316239"/>
      <w:bookmarkStart w:id="2633" w:name="_Toc483316034"/>
      <w:bookmarkStart w:id="2634" w:name="_Toc483302413"/>
      <w:bookmarkStart w:id="2635" w:name="_Toc483233696"/>
      <w:bookmarkStart w:id="2636" w:name="_Toc482979736"/>
      <w:bookmarkStart w:id="2637" w:name="_Toc482979638"/>
      <w:bookmarkStart w:id="2638" w:name="_Toc482979540"/>
      <w:bookmarkStart w:id="2639" w:name="_Toc482979432"/>
      <w:bookmarkStart w:id="2640" w:name="_Toc482979323"/>
      <w:bookmarkStart w:id="2641" w:name="_Toc482979214"/>
      <w:bookmarkStart w:id="2642" w:name="_Toc482979103"/>
      <w:bookmarkStart w:id="2643" w:name="_Toc482978995"/>
      <w:bookmarkStart w:id="2644" w:name="_Toc482978886"/>
      <w:bookmarkStart w:id="2645" w:name="_Toc482959767"/>
      <w:bookmarkStart w:id="2646" w:name="_Toc482959657"/>
      <w:bookmarkStart w:id="2647" w:name="_Toc482959547"/>
      <w:bookmarkStart w:id="2648" w:name="_Toc482712759"/>
      <w:bookmarkStart w:id="2649" w:name="_Toc482641313"/>
      <w:bookmarkStart w:id="2650" w:name="_Toc482633136"/>
      <w:bookmarkStart w:id="2651" w:name="_Toc482352295"/>
      <w:bookmarkStart w:id="2652" w:name="_Toc482352205"/>
      <w:bookmarkStart w:id="2653" w:name="_Toc482352115"/>
      <w:bookmarkStart w:id="2654" w:name="_Toc482352025"/>
      <w:bookmarkStart w:id="2655" w:name="_Toc482102161"/>
      <w:bookmarkStart w:id="2656" w:name="_Toc482102067"/>
      <w:bookmarkStart w:id="2657" w:name="_Toc482101972"/>
      <w:bookmarkStart w:id="2658" w:name="_Toc482101877"/>
      <w:bookmarkStart w:id="2659" w:name="_Toc482101784"/>
      <w:bookmarkStart w:id="2660" w:name="_Toc482101609"/>
      <w:bookmarkStart w:id="2661" w:name="_Toc482101494"/>
      <w:bookmarkStart w:id="2662" w:name="_Toc482101357"/>
      <w:bookmarkStart w:id="2663" w:name="_Toc482100931"/>
      <w:bookmarkStart w:id="2664" w:name="_Toc482100774"/>
      <w:bookmarkStart w:id="2665" w:name="_Toc482099057"/>
      <w:bookmarkStart w:id="2666" w:name="_Toc482097955"/>
      <w:bookmarkStart w:id="2667" w:name="_Toc482097763"/>
      <w:bookmarkStart w:id="2668" w:name="_Toc482097674"/>
      <w:bookmarkStart w:id="2669" w:name="_Toc482097585"/>
      <w:bookmarkStart w:id="2670" w:name="_Toc482025761"/>
      <w:bookmarkStart w:id="2671" w:name="_Toc485218341"/>
      <w:bookmarkStart w:id="2672" w:name="_Toc484688906"/>
      <w:bookmarkStart w:id="2673" w:name="_Toc484688351"/>
      <w:bookmarkStart w:id="2674" w:name="_Toc484605482"/>
      <w:bookmarkStart w:id="2675" w:name="_Toc484605358"/>
      <w:bookmarkStart w:id="2676" w:name="_Toc484526638"/>
      <w:bookmarkStart w:id="2677" w:name="_Toc484449143"/>
      <w:bookmarkStart w:id="2678" w:name="_Toc484449019"/>
      <w:bookmarkStart w:id="2679" w:name="_Toc484448895"/>
      <w:bookmarkStart w:id="2680" w:name="_Toc484448772"/>
      <w:bookmarkStart w:id="2681" w:name="_Toc484448648"/>
      <w:bookmarkStart w:id="2682" w:name="_Toc484448524"/>
      <w:bookmarkStart w:id="2683" w:name="_Toc484448400"/>
      <w:bookmarkStart w:id="2684" w:name="_Toc484448276"/>
      <w:bookmarkStart w:id="2685" w:name="_Toc484448152"/>
      <w:bookmarkStart w:id="2686" w:name="_Toc484440492"/>
      <w:bookmarkStart w:id="2687" w:name="_Toc484440132"/>
      <w:bookmarkStart w:id="2688" w:name="_Toc484440008"/>
      <w:bookmarkStart w:id="2689" w:name="_Toc484439885"/>
      <w:bookmarkStart w:id="2690" w:name="_Toc484438965"/>
      <w:bookmarkStart w:id="2691" w:name="_Toc484438841"/>
      <w:bookmarkStart w:id="2692" w:name="_Toc484438717"/>
      <w:bookmarkStart w:id="2693" w:name="_Toc484429142"/>
      <w:bookmarkStart w:id="2694" w:name="_Toc484428972"/>
      <w:bookmarkStart w:id="2695" w:name="_Toc484097798"/>
      <w:bookmarkStart w:id="2696" w:name="_Toc484011724"/>
      <w:bookmarkStart w:id="2697" w:name="_Toc484011249"/>
      <w:bookmarkStart w:id="2698" w:name="_Toc484011127"/>
      <w:bookmarkStart w:id="2699" w:name="_Toc484011005"/>
      <w:bookmarkStart w:id="2700" w:name="_Toc484010881"/>
      <w:bookmarkStart w:id="2701" w:name="_Toc484010759"/>
      <w:bookmarkStart w:id="2702" w:name="_Toc483907009"/>
      <w:bookmarkStart w:id="2703" w:name="_Toc483571631"/>
      <w:bookmarkStart w:id="2704" w:name="_Toc483571509"/>
      <w:bookmarkStart w:id="2705" w:name="_Toc483474078"/>
      <w:bookmarkStart w:id="2706" w:name="_Toc483401282"/>
      <w:bookmarkStart w:id="2707" w:name="_Toc483325804"/>
      <w:bookmarkStart w:id="2708" w:name="_Toc483316501"/>
      <w:bookmarkStart w:id="2709" w:name="_Toc483316370"/>
      <w:bookmarkStart w:id="2710" w:name="_Toc483316238"/>
      <w:bookmarkStart w:id="2711" w:name="_Toc483316033"/>
      <w:bookmarkStart w:id="2712" w:name="_Toc483302412"/>
      <w:bookmarkStart w:id="2713" w:name="_Toc483233695"/>
      <w:bookmarkStart w:id="2714" w:name="_Toc482979735"/>
      <w:bookmarkStart w:id="2715" w:name="_Toc482979637"/>
      <w:bookmarkStart w:id="2716" w:name="_Toc482979539"/>
      <w:bookmarkStart w:id="2717" w:name="_Toc482979431"/>
      <w:bookmarkStart w:id="2718" w:name="_Toc482979322"/>
      <w:bookmarkStart w:id="2719" w:name="_Toc482979213"/>
      <w:bookmarkStart w:id="2720" w:name="_Toc482979102"/>
      <w:bookmarkStart w:id="2721" w:name="_Toc482978994"/>
      <w:bookmarkStart w:id="2722" w:name="_Toc482978885"/>
      <w:bookmarkStart w:id="2723" w:name="_Toc482959766"/>
      <w:bookmarkStart w:id="2724" w:name="_Toc482959656"/>
      <w:bookmarkStart w:id="2725" w:name="_Toc482959546"/>
      <w:bookmarkStart w:id="2726" w:name="_Toc482712758"/>
      <w:bookmarkStart w:id="2727" w:name="_Toc482641312"/>
      <w:bookmarkStart w:id="2728" w:name="_Toc482633135"/>
      <w:bookmarkStart w:id="2729" w:name="_Toc482352294"/>
      <w:bookmarkStart w:id="2730" w:name="_Toc482352204"/>
      <w:bookmarkStart w:id="2731" w:name="_Toc482352114"/>
      <w:bookmarkStart w:id="2732" w:name="_Toc482352024"/>
      <w:bookmarkStart w:id="2733" w:name="_Toc482102160"/>
      <w:bookmarkStart w:id="2734" w:name="_Toc482102066"/>
      <w:bookmarkStart w:id="2735" w:name="_Toc482101971"/>
      <w:bookmarkStart w:id="2736" w:name="_Toc482101876"/>
      <w:bookmarkStart w:id="2737" w:name="_Toc482101783"/>
      <w:bookmarkStart w:id="2738" w:name="_Toc482101608"/>
      <w:bookmarkStart w:id="2739" w:name="_Toc482101493"/>
      <w:bookmarkStart w:id="2740" w:name="_Toc482101356"/>
      <w:bookmarkStart w:id="2741" w:name="_Toc482100930"/>
      <w:bookmarkStart w:id="2742" w:name="_Toc482100773"/>
      <w:bookmarkStart w:id="2743" w:name="_Toc482099056"/>
      <w:bookmarkStart w:id="2744" w:name="_Toc482097954"/>
      <w:bookmarkStart w:id="2745" w:name="_Toc482097762"/>
      <w:bookmarkStart w:id="2746" w:name="_Toc482097673"/>
      <w:bookmarkStart w:id="2747" w:name="_Toc482097584"/>
      <w:bookmarkStart w:id="2748" w:name="_Toc482025760"/>
      <w:bookmarkStart w:id="2749" w:name="_Toc485218340"/>
      <w:bookmarkStart w:id="2750" w:name="_Toc484688905"/>
      <w:bookmarkStart w:id="2751" w:name="_Toc484688350"/>
      <w:bookmarkStart w:id="2752" w:name="_Toc484605481"/>
      <w:bookmarkStart w:id="2753" w:name="_Toc484605357"/>
      <w:bookmarkStart w:id="2754" w:name="_Toc484526637"/>
      <w:bookmarkStart w:id="2755" w:name="_Toc484449142"/>
      <w:bookmarkStart w:id="2756" w:name="_Toc484449018"/>
      <w:bookmarkStart w:id="2757" w:name="_Toc484448894"/>
      <w:bookmarkStart w:id="2758" w:name="_Toc484448771"/>
      <w:bookmarkStart w:id="2759" w:name="_Toc484448647"/>
      <w:bookmarkStart w:id="2760" w:name="_Toc484448523"/>
      <w:bookmarkStart w:id="2761" w:name="_Toc484448399"/>
      <w:bookmarkStart w:id="2762" w:name="_Toc484448275"/>
      <w:bookmarkStart w:id="2763" w:name="_Toc484448151"/>
      <w:bookmarkStart w:id="2764" w:name="_Toc484440491"/>
      <w:bookmarkStart w:id="2765" w:name="_Toc484440131"/>
      <w:bookmarkStart w:id="2766" w:name="_Toc484440007"/>
      <w:bookmarkStart w:id="2767" w:name="_Toc484439884"/>
      <w:bookmarkStart w:id="2768" w:name="_Toc484438964"/>
      <w:bookmarkStart w:id="2769" w:name="_Toc484438840"/>
      <w:bookmarkStart w:id="2770" w:name="_Toc484438716"/>
      <w:bookmarkStart w:id="2771" w:name="_Toc484429141"/>
      <w:bookmarkStart w:id="2772" w:name="_Toc484428971"/>
      <w:bookmarkStart w:id="2773" w:name="_Toc484097797"/>
      <w:bookmarkStart w:id="2774" w:name="_Toc484011723"/>
      <w:bookmarkStart w:id="2775" w:name="_Toc484011248"/>
      <w:bookmarkStart w:id="2776" w:name="_Toc484011126"/>
      <w:bookmarkStart w:id="2777" w:name="_Toc484011004"/>
      <w:bookmarkStart w:id="2778" w:name="_Toc484010880"/>
      <w:bookmarkStart w:id="2779" w:name="_Toc484010758"/>
      <w:bookmarkStart w:id="2780" w:name="_Toc483907008"/>
      <w:bookmarkStart w:id="2781" w:name="_Toc483571630"/>
      <w:bookmarkStart w:id="2782" w:name="_Toc483571508"/>
      <w:bookmarkStart w:id="2783" w:name="_Toc483474077"/>
      <w:bookmarkStart w:id="2784" w:name="_Toc483401281"/>
      <w:bookmarkStart w:id="2785" w:name="_Toc483325803"/>
      <w:bookmarkStart w:id="2786" w:name="_Toc483316500"/>
      <w:bookmarkStart w:id="2787" w:name="_Toc483316369"/>
      <w:bookmarkStart w:id="2788" w:name="_Toc483316237"/>
      <w:bookmarkStart w:id="2789" w:name="_Toc483316032"/>
      <w:bookmarkStart w:id="2790" w:name="_Toc483302411"/>
      <w:bookmarkStart w:id="2791" w:name="_Toc483233694"/>
      <w:bookmarkStart w:id="2792" w:name="_Toc482979734"/>
      <w:bookmarkStart w:id="2793" w:name="_Toc482979636"/>
      <w:bookmarkStart w:id="2794" w:name="_Toc482979538"/>
      <w:bookmarkStart w:id="2795" w:name="_Toc482979430"/>
      <w:bookmarkStart w:id="2796" w:name="_Toc482979321"/>
      <w:bookmarkStart w:id="2797" w:name="_Toc482979212"/>
      <w:bookmarkStart w:id="2798" w:name="_Toc482979101"/>
      <w:bookmarkStart w:id="2799" w:name="_Toc482978993"/>
      <w:bookmarkStart w:id="2800" w:name="_Toc482978884"/>
      <w:bookmarkStart w:id="2801" w:name="_Toc482959765"/>
      <w:bookmarkStart w:id="2802" w:name="_Toc482959655"/>
      <w:bookmarkStart w:id="2803" w:name="_Toc482959545"/>
      <w:bookmarkStart w:id="2804" w:name="_Toc482712757"/>
      <w:bookmarkStart w:id="2805" w:name="_Toc482641311"/>
      <w:bookmarkStart w:id="2806" w:name="_Toc482633134"/>
      <w:bookmarkStart w:id="2807" w:name="_Toc482352293"/>
      <w:bookmarkStart w:id="2808" w:name="_Toc482352203"/>
      <w:bookmarkStart w:id="2809" w:name="_Toc482352113"/>
      <w:bookmarkStart w:id="2810" w:name="_Toc482352023"/>
      <w:bookmarkStart w:id="2811" w:name="_Toc482102159"/>
      <w:bookmarkStart w:id="2812" w:name="_Toc482102065"/>
      <w:bookmarkStart w:id="2813" w:name="_Toc482101970"/>
      <w:bookmarkStart w:id="2814" w:name="_Toc482101875"/>
      <w:bookmarkStart w:id="2815" w:name="_Toc482101782"/>
      <w:bookmarkStart w:id="2816" w:name="_Toc482101607"/>
      <w:bookmarkStart w:id="2817" w:name="_Toc482101492"/>
      <w:bookmarkStart w:id="2818" w:name="_Toc482101355"/>
      <w:bookmarkStart w:id="2819" w:name="_Toc482100929"/>
      <w:bookmarkStart w:id="2820" w:name="_Toc482100772"/>
      <w:bookmarkStart w:id="2821" w:name="_Toc482099055"/>
      <w:bookmarkStart w:id="2822" w:name="_Toc482097953"/>
      <w:bookmarkStart w:id="2823" w:name="_Toc482097761"/>
      <w:bookmarkStart w:id="2824" w:name="_Toc482097672"/>
      <w:bookmarkStart w:id="2825" w:name="_Toc482097583"/>
      <w:bookmarkStart w:id="2826" w:name="_Toc482025759"/>
      <w:bookmarkStart w:id="2827" w:name="_Toc485218339"/>
      <w:bookmarkStart w:id="2828" w:name="_Toc484688904"/>
      <w:bookmarkStart w:id="2829" w:name="_Toc484688349"/>
      <w:bookmarkStart w:id="2830" w:name="_Toc484605480"/>
      <w:bookmarkStart w:id="2831" w:name="_Toc484605356"/>
      <w:bookmarkStart w:id="2832" w:name="_Toc484526636"/>
      <w:bookmarkStart w:id="2833" w:name="_Toc484449141"/>
      <w:bookmarkStart w:id="2834" w:name="_Toc484449017"/>
      <w:bookmarkStart w:id="2835" w:name="_Toc484448893"/>
      <w:bookmarkStart w:id="2836" w:name="_Toc484448770"/>
      <w:bookmarkStart w:id="2837" w:name="_Toc484448646"/>
      <w:bookmarkStart w:id="2838" w:name="_Toc484448522"/>
      <w:bookmarkStart w:id="2839" w:name="_Toc484448398"/>
      <w:bookmarkStart w:id="2840" w:name="_Toc484448274"/>
      <w:bookmarkStart w:id="2841" w:name="_Toc484448150"/>
      <w:bookmarkStart w:id="2842" w:name="_Toc484440490"/>
      <w:bookmarkStart w:id="2843" w:name="_Toc484440130"/>
      <w:bookmarkStart w:id="2844" w:name="_Toc484440006"/>
      <w:bookmarkStart w:id="2845" w:name="_Toc484439883"/>
      <w:bookmarkStart w:id="2846" w:name="_Toc484438963"/>
      <w:bookmarkStart w:id="2847" w:name="_Toc484438839"/>
      <w:bookmarkStart w:id="2848" w:name="_Toc484438715"/>
      <w:bookmarkStart w:id="2849" w:name="_Toc484429140"/>
      <w:bookmarkStart w:id="2850" w:name="_Toc484428970"/>
      <w:bookmarkStart w:id="2851" w:name="_Toc484097796"/>
      <w:bookmarkStart w:id="2852" w:name="_Toc484011722"/>
      <w:bookmarkStart w:id="2853" w:name="_Toc484011247"/>
      <w:bookmarkStart w:id="2854" w:name="_Toc484011125"/>
      <w:bookmarkStart w:id="2855" w:name="_Toc484011003"/>
      <w:bookmarkStart w:id="2856" w:name="_Toc484010879"/>
      <w:bookmarkStart w:id="2857" w:name="_Toc484010757"/>
      <w:bookmarkStart w:id="2858" w:name="_Toc483907007"/>
      <w:bookmarkStart w:id="2859" w:name="_Toc483571629"/>
      <w:bookmarkStart w:id="2860" w:name="_Toc483571507"/>
      <w:bookmarkStart w:id="2861" w:name="_Toc483474076"/>
      <w:bookmarkStart w:id="2862" w:name="_Toc483401280"/>
      <w:bookmarkStart w:id="2863" w:name="_Toc483325802"/>
      <w:bookmarkStart w:id="2864" w:name="_Toc483316499"/>
      <w:bookmarkStart w:id="2865" w:name="_Toc483316368"/>
      <w:bookmarkStart w:id="2866" w:name="_Toc483316236"/>
      <w:bookmarkStart w:id="2867" w:name="_Toc483316031"/>
      <w:bookmarkStart w:id="2868" w:name="_Toc483302410"/>
      <w:bookmarkStart w:id="2869" w:name="_Toc483233693"/>
      <w:bookmarkStart w:id="2870" w:name="_Toc482979733"/>
      <w:bookmarkStart w:id="2871" w:name="_Toc482979635"/>
      <w:bookmarkStart w:id="2872" w:name="_Toc482979537"/>
      <w:bookmarkStart w:id="2873" w:name="_Toc482979429"/>
      <w:bookmarkStart w:id="2874" w:name="_Toc482979320"/>
      <w:bookmarkStart w:id="2875" w:name="_Toc482979211"/>
      <w:bookmarkStart w:id="2876" w:name="_Toc482979100"/>
      <w:bookmarkStart w:id="2877" w:name="_Toc482978992"/>
      <w:bookmarkStart w:id="2878" w:name="_Toc482978883"/>
      <w:bookmarkStart w:id="2879" w:name="_Toc482959764"/>
      <w:bookmarkStart w:id="2880" w:name="_Toc482959654"/>
      <w:bookmarkStart w:id="2881" w:name="_Toc482959544"/>
      <w:bookmarkStart w:id="2882" w:name="_Toc482712756"/>
      <w:bookmarkStart w:id="2883" w:name="_Toc482641310"/>
      <w:bookmarkStart w:id="2884" w:name="_Toc482633133"/>
      <w:bookmarkStart w:id="2885" w:name="_Toc482352292"/>
      <w:bookmarkStart w:id="2886" w:name="_Toc482352202"/>
      <w:bookmarkStart w:id="2887" w:name="_Toc482352112"/>
      <w:bookmarkStart w:id="2888" w:name="_Toc482352022"/>
      <w:bookmarkStart w:id="2889" w:name="_Toc482102158"/>
      <w:bookmarkStart w:id="2890" w:name="_Toc482102064"/>
      <w:bookmarkStart w:id="2891" w:name="_Toc482101969"/>
      <w:bookmarkStart w:id="2892" w:name="_Toc482101874"/>
      <w:bookmarkStart w:id="2893" w:name="_Toc482101781"/>
      <w:bookmarkStart w:id="2894" w:name="_Toc482101606"/>
      <w:bookmarkStart w:id="2895" w:name="_Toc482101491"/>
      <w:bookmarkStart w:id="2896" w:name="_Toc482101354"/>
      <w:bookmarkStart w:id="2897" w:name="_Toc482100928"/>
      <w:bookmarkStart w:id="2898" w:name="_Toc482100771"/>
      <w:bookmarkStart w:id="2899" w:name="_Toc482099054"/>
      <w:bookmarkStart w:id="2900" w:name="_Toc482097952"/>
      <w:bookmarkStart w:id="2901" w:name="_Toc482097760"/>
      <w:bookmarkStart w:id="2902" w:name="_Toc482097671"/>
      <w:bookmarkStart w:id="2903" w:name="_Toc482097582"/>
      <w:bookmarkStart w:id="2904" w:name="_Toc482025758"/>
      <w:bookmarkStart w:id="2905" w:name="_Toc485218338"/>
      <w:bookmarkStart w:id="2906" w:name="_Toc484688903"/>
      <w:bookmarkStart w:id="2907" w:name="_Toc484688348"/>
      <w:bookmarkStart w:id="2908" w:name="_Toc484605479"/>
      <w:bookmarkStart w:id="2909" w:name="_Toc484605355"/>
      <w:bookmarkStart w:id="2910" w:name="_Toc484526635"/>
      <w:bookmarkStart w:id="2911" w:name="_Toc484449140"/>
      <w:bookmarkStart w:id="2912" w:name="_Toc484449016"/>
      <w:bookmarkStart w:id="2913" w:name="_Toc484448892"/>
      <w:bookmarkStart w:id="2914" w:name="_Toc484448769"/>
      <w:bookmarkStart w:id="2915" w:name="_Toc484448645"/>
      <w:bookmarkStart w:id="2916" w:name="_Toc484448521"/>
      <w:bookmarkStart w:id="2917" w:name="_Toc484448397"/>
      <w:bookmarkStart w:id="2918" w:name="_Toc484448273"/>
      <w:bookmarkStart w:id="2919" w:name="_Toc484448149"/>
      <w:bookmarkStart w:id="2920" w:name="_Toc484440489"/>
      <w:bookmarkStart w:id="2921" w:name="_Toc484440129"/>
      <w:bookmarkStart w:id="2922" w:name="_Toc484440005"/>
      <w:bookmarkStart w:id="2923" w:name="_Toc484439882"/>
      <w:bookmarkStart w:id="2924" w:name="_Toc484438962"/>
      <w:bookmarkStart w:id="2925" w:name="_Toc484438838"/>
      <w:bookmarkStart w:id="2926" w:name="_Toc484438714"/>
      <w:bookmarkStart w:id="2927" w:name="_Toc484429139"/>
      <w:bookmarkStart w:id="2928" w:name="_Toc484428969"/>
      <w:bookmarkStart w:id="2929" w:name="_Toc484097795"/>
      <w:bookmarkStart w:id="2930" w:name="_Toc484011721"/>
      <w:bookmarkStart w:id="2931" w:name="_Toc484011246"/>
      <w:bookmarkStart w:id="2932" w:name="_Toc484011124"/>
      <w:bookmarkStart w:id="2933" w:name="_Toc484011002"/>
      <w:bookmarkStart w:id="2934" w:name="_Toc484010878"/>
      <w:bookmarkStart w:id="2935" w:name="_Toc484010756"/>
      <w:bookmarkStart w:id="2936" w:name="_Toc483907006"/>
      <w:bookmarkStart w:id="2937" w:name="_Toc483571628"/>
      <w:bookmarkStart w:id="2938" w:name="_Toc483571506"/>
      <w:bookmarkStart w:id="2939" w:name="_Toc483474075"/>
      <w:bookmarkStart w:id="2940" w:name="_Toc483401279"/>
      <w:bookmarkStart w:id="2941" w:name="_Toc483325801"/>
      <w:bookmarkStart w:id="2942" w:name="_Toc483316498"/>
      <w:bookmarkStart w:id="2943" w:name="_Toc483316367"/>
      <w:bookmarkStart w:id="2944" w:name="_Toc483316235"/>
      <w:bookmarkStart w:id="2945" w:name="_Toc483316030"/>
      <w:bookmarkStart w:id="2946" w:name="_Toc483302409"/>
      <w:bookmarkStart w:id="2947" w:name="_Toc483233692"/>
      <w:bookmarkStart w:id="2948" w:name="_Toc482979732"/>
      <w:bookmarkStart w:id="2949" w:name="_Toc482979634"/>
      <w:bookmarkStart w:id="2950" w:name="_Toc482979536"/>
      <w:bookmarkStart w:id="2951" w:name="_Toc482979428"/>
      <w:bookmarkStart w:id="2952" w:name="_Toc482979319"/>
      <w:bookmarkStart w:id="2953" w:name="_Toc482979210"/>
      <w:bookmarkStart w:id="2954" w:name="_Toc482979099"/>
      <w:bookmarkStart w:id="2955" w:name="_Toc482978991"/>
      <w:bookmarkStart w:id="2956" w:name="_Toc482978882"/>
      <w:bookmarkStart w:id="2957" w:name="_Toc482959763"/>
      <w:bookmarkStart w:id="2958" w:name="_Toc482959653"/>
      <w:bookmarkStart w:id="2959" w:name="_Toc482959543"/>
      <w:bookmarkStart w:id="2960" w:name="_Toc482712755"/>
      <w:bookmarkStart w:id="2961" w:name="_Toc482641309"/>
      <w:bookmarkStart w:id="2962" w:name="_Toc482633132"/>
      <w:bookmarkStart w:id="2963" w:name="_Toc482352291"/>
      <w:bookmarkStart w:id="2964" w:name="_Toc482352201"/>
      <w:bookmarkStart w:id="2965" w:name="_Toc482352111"/>
      <w:bookmarkStart w:id="2966" w:name="_Toc482352021"/>
      <w:bookmarkStart w:id="2967" w:name="_Toc482102157"/>
      <w:bookmarkStart w:id="2968" w:name="_Toc482102063"/>
      <w:bookmarkStart w:id="2969" w:name="_Toc482101968"/>
      <w:bookmarkStart w:id="2970" w:name="_Toc482101873"/>
      <w:bookmarkStart w:id="2971" w:name="_Toc482101780"/>
      <w:bookmarkStart w:id="2972" w:name="_Toc482101605"/>
      <w:bookmarkStart w:id="2973" w:name="_Toc482101490"/>
      <w:bookmarkStart w:id="2974" w:name="_Toc482101353"/>
      <w:bookmarkStart w:id="2975" w:name="_Toc482100927"/>
      <w:bookmarkStart w:id="2976" w:name="_Toc482100770"/>
      <w:bookmarkStart w:id="2977" w:name="_Toc482099053"/>
      <w:bookmarkStart w:id="2978" w:name="_Toc482097951"/>
      <w:bookmarkStart w:id="2979" w:name="_Toc482097759"/>
      <w:bookmarkStart w:id="2980" w:name="_Toc482097670"/>
      <w:bookmarkStart w:id="2981" w:name="_Toc482097581"/>
      <w:bookmarkStart w:id="2982" w:name="_Toc482025757"/>
      <w:bookmarkStart w:id="2983" w:name="_Toc485218337"/>
      <w:bookmarkStart w:id="2984" w:name="_Toc484688902"/>
      <w:bookmarkStart w:id="2985" w:name="_Toc484688347"/>
      <w:bookmarkStart w:id="2986" w:name="_Toc484605478"/>
      <w:bookmarkStart w:id="2987" w:name="_Toc484605354"/>
      <w:bookmarkStart w:id="2988" w:name="_Toc484526634"/>
      <w:bookmarkStart w:id="2989" w:name="_Toc484449139"/>
      <w:bookmarkStart w:id="2990" w:name="_Toc484449015"/>
      <w:bookmarkStart w:id="2991" w:name="_Toc484448891"/>
      <w:bookmarkStart w:id="2992" w:name="_Toc484448768"/>
      <w:bookmarkStart w:id="2993" w:name="_Toc484448644"/>
      <w:bookmarkStart w:id="2994" w:name="_Toc484448520"/>
      <w:bookmarkStart w:id="2995" w:name="_Toc484448396"/>
      <w:bookmarkStart w:id="2996" w:name="_Toc484448272"/>
      <w:bookmarkStart w:id="2997" w:name="_Toc484448148"/>
      <w:bookmarkStart w:id="2998" w:name="_Toc484440488"/>
      <w:bookmarkStart w:id="2999" w:name="_Toc484440128"/>
      <w:bookmarkStart w:id="3000" w:name="_Toc484440004"/>
      <w:bookmarkStart w:id="3001" w:name="_Toc484439881"/>
      <w:bookmarkStart w:id="3002" w:name="_Toc484438961"/>
      <w:bookmarkStart w:id="3003" w:name="_Toc484438837"/>
      <w:bookmarkStart w:id="3004" w:name="_Toc484438713"/>
      <w:bookmarkStart w:id="3005" w:name="_Toc484429138"/>
      <w:bookmarkStart w:id="3006" w:name="_Toc484428968"/>
      <w:bookmarkStart w:id="3007" w:name="_Toc484097794"/>
      <w:bookmarkStart w:id="3008" w:name="_Toc484011720"/>
      <w:bookmarkStart w:id="3009" w:name="_Toc484011245"/>
      <w:bookmarkStart w:id="3010" w:name="_Toc484011123"/>
      <w:bookmarkStart w:id="3011" w:name="_Toc484011001"/>
      <w:bookmarkStart w:id="3012" w:name="_Toc484010877"/>
      <w:bookmarkStart w:id="3013" w:name="_Toc484010755"/>
      <w:bookmarkStart w:id="3014" w:name="_Toc483907005"/>
      <w:bookmarkStart w:id="3015" w:name="_Toc483571627"/>
      <w:bookmarkStart w:id="3016" w:name="_Toc483571505"/>
      <w:bookmarkStart w:id="3017" w:name="_Toc483474074"/>
      <w:bookmarkStart w:id="3018" w:name="_Toc483401278"/>
      <w:bookmarkStart w:id="3019" w:name="_Toc483325800"/>
      <w:bookmarkStart w:id="3020" w:name="_Toc483316497"/>
      <w:bookmarkStart w:id="3021" w:name="_Toc483316366"/>
      <w:bookmarkStart w:id="3022" w:name="_Toc483316234"/>
      <w:bookmarkStart w:id="3023" w:name="_Toc483316029"/>
      <w:bookmarkStart w:id="3024" w:name="_Toc483302408"/>
      <w:bookmarkStart w:id="3025" w:name="_Toc483233691"/>
      <w:bookmarkStart w:id="3026" w:name="_Toc482979731"/>
      <w:bookmarkStart w:id="3027" w:name="_Toc482979633"/>
      <w:bookmarkStart w:id="3028" w:name="_Toc482979535"/>
      <w:bookmarkStart w:id="3029" w:name="_Toc482979427"/>
      <w:bookmarkStart w:id="3030" w:name="_Toc482979318"/>
      <w:bookmarkStart w:id="3031" w:name="_Toc482979209"/>
      <w:bookmarkStart w:id="3032" w:name="_Toc482979098"/>
      <w:bookmarkStart w:id="3033" w:name="_Toc482978990"/>
      <w:bookmarkStart w:id="3034" w:name="_Toc482978881"/>
      <w:bookmarkStart w:id="3035" w:name="_Toc482959762"/>
      <w:bookmarkStart w:id="3036" w:name="_Toc482959652"/>
      <w:bookmarkStart w:id="3037" w:name="_Toc482959542"/>
      <w:bookmarkStart w:id="3038" w:name="_Toc482712754"/>
      <w:bookmarkStart w:id="3039" w:name="_Toc482641308"/>
      <w:bookmarkStart w:id="3040" w:name="_Toc482633131"/>
      <w:bookmarkStart w:id="3041" w:name="_Toc482352290"/>
      <w:bookmarkStart w:id="3042" w:name="_Toc482352200"/>
      <w:bookmarkStart w:id="3043" w:name="_Toc482352110"/>
      <w:bookmarkStart w:id="3044" w:name="_Toc482352020"/>
      <w:bookmarkStart w:id="3045" w:name="_Toc482102156"/>
      <w:bookmarkStart w:id="3046" w:name="_Toc482102062"/>
      <w:bookmarkStart w:id="3047" w:name="_Toc482101967"/>
      <w:bookmarkStart w:id="3048" w:name="_Toc482101872"/>
      <w:bookmarkStart w:id="3049" w:name="_Toc482101779"/>
      <w:bookmarkStart w:id="3050" w:name="_Toc482101604"/>
      <w:bookmarkStart w:id="3051" w:name="_Toc482101489"/>
      <w:bookmarkStart w:id="3052" w:name="_Toc482101352"/>
      <w:bookmarkStart w:id="3053" w:name="_Toc482100926"/>
      <w:bookmarkStart w:id="3054" w:name="_Toc482100769"/>
      <w:bookmarkStart w:id="3055" w:name="_Toc482099052"/>
      <w:bookmarkStart w:id="3056" w:name="_Toc482097950"/>
      <w:bookmarkStart w:id="3057" w:name="_Toc482097758"/>
      <w:bookmarkStart w:id="3058" w:name="_Toc482097669"/>
      <w:bookmarkStart w:id="3059" w:name="_Toc482097580"/>
      <w:bookmarkStart w:id="3060" w:name="_Toc482025756"/>
      <w:bookmarkStart w:id="3061" w:name="_Toc485218348"/>
      <w:bookmarkStart w:id="3062" w:name="_Toc484688913"/>
      <w:bookmarkStart w:id="3063" w:name="_Ref498613645"/>
      <w:bookmarkStart w:id="3064" w:name="_Toc95495920"/>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r>
        <w:rPr>
          <w:rFonts w:ascii="Titillium" w:hAnsi="Titillium"/>
          <w:sz w:val="18"/>
          <w:szCs w:val="18"/>
        </w:rPr>
        <w:t xml:space="preserve">AGGIUDICAZIONE </w:t>
      </w:r>
      <w:r>
        <w:rPr>
          <w:rFonts w:ascii="Titillium" w:hAnsi="Titillium"/>
          <w:caps w:val="0"/>
          <w:sz w:val="18"/>
          <w:szCs w:val="18"/>
          <w:lang w:val="it-IT"/>
        </w:rPr>
        <w:t xml:space="preserve">DELL’APPALTO </w:t>
      </w:r>
      <w:r>
        <w:rPr>
          <w:rFonts w:ascii="Titillium" w:hAnsi="Titillium"/>
          <w:caps w:val="0"/>
          <w:sz w:val="18"/>
          <w:szCs w:val="18"/>
        </w:rPr>
        <w:t xml:space="preserve">E STIPULA </w:t>
      </w:r>
      <w:r>
        <w:rPr>
          <w:rFonts w:ascii="Titillium" w:hAnsi="Titillium"/>
          <w:sz w:val="18"/>
          <w:szCs w:val="18"/>
        </w:rPr>
        <w:t>DEL CONTRATTO</w:t>
      </w:r>
      <w:bookmarkStart w:id="3065" w:name="_Ref531265966"/>
      <w:bookmarkEnd w:id="3063"/>
      <w:bookmarkEnd w:id="3065"/>
      <w:bookmarkEnd w:id="3064"/>
    </w:p>
    <w:p w14:paraId="21A32A19" w14:textId="66F2D8A7" w:rsidR="004C53A8" w:rsidRDefault="00B64CC9">
      <w:pPr>
        <w:spacing w:before="60" w:after="60"/>
        <w:rPr>
          <w:rFonts w:ascii="Titillium" w:hAnsi="Titillium" w:cs="Calibri"/>
          <w:sz w:val="18"/>
          <w:szCs w:val="18"/>
        </w:rPr>
      </w:pPr>
      <w:r>
        <w:rPr>
          <w:rFonts w:ascii="Titillium" w:hAnsi="Titillium" w:cs="Calibri"/>
          <w:sz w:val="18"/>
          <w:szCs w:val="18"/>
        </w:rPr>
        <w:t>L</w:t>
      </w:r>
      <w:r w:rsidR="00870286">
        <w:rPr>
          <w:rFonts w:ascii="Titillium" w:hAnsi="Titillium" w:cs="Calibri"/>
          <w:sz w:val="18"/>
          <w:szCs w:val="18"/>
        </w:rPr>
        <w:t xml:space="preserve">a commissione </w:t>
      </w:r>
      <w:r>
        <w:rPr>
          <w:rFonts w:ascii="Titillium" w:hAnsi="Titillium" w:cs="Calibri"/>
          <w:sz w:val="18"/>
          <w:szCs w:val="18"/>
        </w:rPr>
        <w:t xml:space="preserve">invia al RUP la proposta di aggiudicazione </w:t>
      </w:r>
      <w:r w:rsidR="00870286">
        <w:rPr>
          <w:rFonts w:ascii="Titillium" w:hAnsi="Titillium" w:cs="Calibri"/>
          <w:sz w:val="18"/>
          <w:szCs w:val="18"/>
        </w:rPr>
        <w:t xml:space="preserve">in favore del concorrente che ha presentato la migliore offerta. </w:t>
      </w:r>
    </w:p>
    <w:p w14:paraId="0B92D5FB" w14:textId="165F9A36" w:rsidR="004C53A8" w:rsidRPr="00F53D3E" w:rsidRDefault="00870286">
      <w:pPr>
        <w:spacing w:before="60" w:after="60"/>
        <w:rPr>
          <w:rFonts w:ascii="Titillium" w:hAnsi="Titillium" w:cs="Calibri"/>
          <w:sz w:val="18"/>
          <w:szCs w:val="18"/>
        </w:rPr>
      </w:pPr>
      <w:r>
        <w:rPr>
          <w:rFonts w:ascii="Titillium" w:hAnsi="Titillium" w:cs="Calibri"/>
          <w:sz w:val="18"/>
          <w:szCs w:val="18"/>
        </w:rPr>
        <w:t xml:space="preserve">Qualora vi sia stata verifica di congruità </w:t>
      </w:r>
      <w:r w:rsidRPr="00F53D3E">
        <w:rPr>
          <w:rFonts w:ascii="Titillium" w:hAnsi="Titillium" w:cs="Calibri"/>
          <w:sz w:val="18"/>
          <w:szCs w:val="18"/>
        </w:rPr>
        <w:t>delle offerte anomale, la proposta di aggiudicazione è formulata dal RUP al termine del relativo procedimento.</w:t>
      </w:r>
    </w:p>
    <w:p w14:paraId="5BAF5F63" w14:textId="1B13850B" w:rsidR="004C53A8" w:rsidRPr="009B76BD" w:rsidRDefault="00870286">
      <w:pPr>
        <w:spacing w:before="60" w:after="60"/>
      </w:pPr>
      <w:r w:rsidRPr="009B76BD">
        <w:rPr>
          <w:rFonts w:ascii="Titillium" w:hAnsi="Titillium" w:cs="Calibri"/>
          <w:b/>
          <w:i/>
          <w:sz w:val="18"/>
          <w:szCs w:val="18"/>
        </w:rPr>
        <w:t>[Facoltativo]</w:t>
      </w:r>
      <w:r w:rsidRPr="009B76BD">
        <w:rPr>
          <w:rFonts w:ascii="Titillium" w:hAnsi="Titillium" w:cs="Calibri"/>
          <w:b/>
          <w:sz w:val="18"/>
          <w:szCs w:val="18"/>
        </w:rPr>
        <w:t xml:space="preserve"> </w:t>
      </w:r>
      <w:r w:rsidRPr="009B76BD">
        <w:rPr>
          <w:rFonts w:ascii="Titillium" w:hAnsi="Titillium" w:cs="Calibri"/>
          <w:sz w:val="18"/>
          <w:szCs w:val="18"/>
        </w:rPr>
        <w:t xml:space="preserve">Qualora nessuna offerta risulti conveniente o idonea in relazione all’oggetto del contratto, non </w:t>
      </w:r>
      <w:r w:rsidR="00B64CC9" w:rsidRPr="009B76BD">
        <w:rPr>
          <w:rFonts w:ascii="Titillium" w:hAnsi="Titillium" w:cs="Calibri"/>
          <w:sz w:val="18"/>
          <w:szCs w:val="18"/>
        </w:rPr>
        <w:t xml:space="preserve">si </w:t>
      </w:r>
      <w:r w:rsidRPr="009B76BD">
        <w:rPr>
          <w:rFonts w:ascii="Titillium" w:hAnsi="Titillium" w:cs="Calibri"/>
          <w:sz w:val="18"/>
          <w:szCs w:val="18"/>
        </w:rPr>
        <w:t>procede all’aggiudicazione.</w:t>
      </w:r>
    </w:p>
    <w:p w14:paraId="71EB34D3" w14:textId="27EDA289" w:rsidR="004C53A8" w:rsidRPr="00254D96" w:rsidRDefault="00870286">
      <w:pPr>
        <w:spacing w:before="60" w:after="60"/>
      </w:pPr>
      <w:r w:rsidRPr="009B76BD">
        <w:rPr>
          <w:rFonts w:ascii="Titillium" w:hAnsi="Titillium" w:cs="Calibri"/>
          <w:b/>
          <w:i/>
          <w:sz w:val="18"/>
          <w:szCs w:val="18"/>
        </w:rPr>
        <w:t xml:space="preserve">[Facoltativo] </w:t>
      </w:r>
      <w:r w:rsidR="00B64CC9" w:rsidRPr="00254D96">
        <w:rPr>
          <w:rFonts w:ascii="Titillium" w:hAnsi="Titillium" w:cs="Calibri"/>
          <w:sz w:val="18"/>
          <w:szCs w:val="18"/>
        </w:rPr>
        <w:t>N</w:t>
      </w:r>
      <w:r w:rsidRPr="00254D96">
        <w:rPr>
          <w:rFonts w:ascii="Titillium" w:hAnsi="Titillium" w:cs="Calibri"/>
          <w:sz w:val="18"/>
          <w:szCs w:val="18"/>
        </w:rPr>
        <w:t xml:space="preserve">on </w:t>
      </w:r>
      <w:r w:rsidR="00B64CC9" w:rsidRPr="00254D96">
        <w:rPr>
          <w:rFonts w:ascii="Titillium" w:hAnsi="Titillium" w:cs="Calibri"/>
          <w:sz w:val="18"/>
          <w:szCs w:val="18"/>
        </w:rPr>
        <w:t>si procede all’</w:t>
      </w:r>
      <w:r w:rsidRPr="00254D96">
        <w:rPr>
          <w:rFonts w:ascii="Titillium" w:hAnsi="Titillium" w:cs="Calibri"/>
          <w:sz w:val="18"/>
          <w:szCs w:val="18"/>
        </w:rPr>
        <w:t>aggiudica</w:t>
      </w:r>
      <w:r w:rsidR="00B64CC9" w:rsidRPr="00254D96">
        <w:rPr>
          <w:rFonts w:ascii="Titillium" w:hAnsi="Titillium" w:cs="Calibri"/>
          <w:sz w:val="18"/>
          <w:szCs w:val="18"/>
        </w:rPr>
        <w:t>zione del</w:t>
      </w:r>
      <w:r w:rsidRPr="00254D96">
        <w:rPr>
          <w:rFonts w:ascii="Titillium" w:hAnsi="Titillium" w:cs="Calibri"/>
          <w:sz w:val="18"/>
          <w:szCs w:val="18"/>
        </w:rPr>
        <w:t xml:space="preserve">l’appalto all’offerente che </w:t>
      </w:r>
      <w:r w:rsidR="00B64CC9" w:rsidRPr="00254D96">
        <w:rPr>
          <w:rFonts w:ascii="Titillium" w:hAnsi="Titillium" w:cs="Calibri"/>
          <w:sz w:val="18"/>
          <w:szCs w:val="18"/>
        </w:rPr>
        <w:t>ha</w:t>
      </w:r>
      <w:r w:rsidRPr="00254D96">
        <w:rPr>
          <w:rFonts w:ascii="Titillium" w:hAnsi="Titillium" w:cs="Calibri"/>
          <w:sz w:val="18"/>
          <w:szCs w:val="18"/>
        </w:rPr>
        <w:t xml:space="preserve"> presentato l’offerta economicamente più vantaggiosa qualora </w:t>
      </w:r>
      <w:r w:rsidR="00B64CC9" w:rsidRPr="00254D96">
        <w:rPr>
          <w:rFonts w:ascii="Titillium" w:hAnsi="Titillium" w:cs="Calibri"/>
          <w:sz w:val="18"/>
          <w:szCs w:val="18"/>
        </w:rPr>
        <w:t>viene</w:t>
      </w:r>
      <w:r w:rsidRPr="00254D96">
        <w:rPr>
          <w:rFonts w:ascii="Titillium" w:hAnsi="Titillium" w:cs="Calibri"/>
          <w:sz w:val="18"/>
          <w:szCs w:val="18"/>
        </w:rPr>
        <w:t xml:space="preserve"> accertato che tale offerta non soddisf</w:t>
      </w:r>
      <w:r w:rsidR="00B64CC9" w:rsidRPr="00254D96">
        <w:rPr>
          <w:rFonts w:ascii="Titillium" w:hAnsi="Titillium" w:cs="Calibri"/>
          <w:sz w:val="18"/>
          <w:szCs w:val="18"/>
        </w:rPr>
        <w:t>a</w:t>
      </w:r>
      <w:r w:rsidRPr="00254D96">
        <w:rPr>
          <w:rFonts w:ascii="Titillium" w:hAnsi="Titillium" w:cs="Calibri"/>
          <w:sz w:val="18"/>
          <w:szCs w:val="18"/>
        </w:rPr>
        <w:t xml:space="preserve"> gli obblighi di cui all’articolo 30, comma 3, del Codice in materia ambientale, sociale e del lavoro stabiliti dalla normativa europea e nazionale, dai contratti collettivi o dalle disposizioni internazionali elencate nell’allegato X del Codice.</w:t>
      </w:r>
    </w:p>
    <w:p w14:paraId="7B20B1BC" w14:textId="517005D4" w:rsidR="004C53A8" w:rsidRPr="00F53D3E" w:rsidRDefault="00870286">
      <w:pPr>
        <w:spacing w:before="60" w:after="60"/>
      </w:pPr>
      <w:r w:rsidRPr="00FE7AB7">
        <w:rPr>
          <w:rFonts w:ascii="Titillium" w:hAnsi="Titillium" w:cs="Calibri"/>
          <w:b/>
          <w:bCs/>
          <w:i/>
          <w:sz w:val="18"/>
          <w:szCs w:val="18"/>
        </w:rPr>
        <w:t xml:space="preserve">[Eventuale, la clausola </w:t>
      </w:r>
      <w:r w:rsidR="00557FFB" w:rsidRPr="00FE7AB7">
        <w:rPr>
          <w:rFonts w:ascii="Titillium" w:hAnsi="Titillium" w:cs="Calibri"/>
          <w:b/>
          <w:bCs/>
          <w:i/>
          <w:sz w:val="18"/>
          <w:szCs w:val="18"/>
        </w:rPr>
        <w:t>non va inserita</w:t>
      </w:r>
      <w:r w:rsidRPr="00FE7AB7">
        <w:rPr>
          <w:rFonts w:ascii="Titillium" w:hAnsi="Titillium" w:cs="Calibri"/>
          <w:b/>
          <w:bCs/>
          <w:i/>
          <w:sz w:val="18"/>
          <w:szCs w:val="18"/>
        </w:rPr>
        <w:t xml:space="preserve"> in caso di forniture senza posa in opera e servizi di natura intellettuale]</w:t>
      </w:r>
      <w:r w:rsidRPr="00FE7AB7">
        <w:rPr>
          <w:rFonts w:ascii="Titillium" w:hAnsi="Titillium" w:cs="Calibri"/>
          <w:i/>
          <w:sz w:val="18"/>
          <w:szCs w:val="18"/>
        </w:rPr>
        <w:t xml:space="preserve"> </w:t>
      </w:r>
      <w:r w:rsidRPr="006E08DB">
        <w:rPr>
          <w:rFonts w:ascii="Titillium" w:hAnsi="Titillium" w:cs="Calibri"/>
          <w:sz w:val="18"/>
          <w:szCs w:val="18"/>
        </w:rPr>
        <w:t>Il RUP procede, laddove non effettuata in sede di verifica di congruità dell’offerta, a verificare,</w:t>
      </w:r>
      <w:r w:rsidRPr="006E08DB">
        <w:rPr>
          <w:rFonts w:ascii="Titillium" w:hAnsi="Titillium" w:cs="Calibri"/>
          <w:b/>
          <w:sz w:val="18"/>
          <w:szCs w:val="18"/>
        </w:rPr>
        <w:t xml:space="preserve"> </w:t>
      </w:r>
      <w:r w:rsidRPr="006E08DB">
        <w:rPr>
          <w:rFonts w:ascii="Titillium" w:hAnsi="Titillium" w:cs="Calibri"/>
          <w:sz w:val="18"/>
          <w:szCs w:val="18"/>
        </w:rPr>
        <w:t>a pena di esclusione,</w:t>
      </w:r>
      <w:r w:rsidRPr="00F53D3E">
        <w:rPr>
          <w:rFonts w:ascii="Titillium" w:hAnsi="Titillium" w:cs="Calibri"/>
          <w:sz w:val="18"/>
          <w:szCs w:val="18"/>
        </w:rPr>
        <w:t xml:space="preserve"> che il costo del personale non sia inferiore ai minimi salariali retributivi indicati nelle tabelle redatte annualmente dal Ministero del Lavoro e delle politiche sociali. </w:t>
      </w:r>
    </w:p>
    <w:p w14:paraId="304F7EF8" w14:textId="7B1A313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La proposta di aggiudicazione è approvata entro ….</w:t>
      </w:r>
      <w:r w:rsidRPr="00F53D3E">
        <w:rPr>
          <w:rFonts w:ascii="Titillium" w:hAnsi="Titillium" w:cs="Calibri"/>
          <w:i/>
          <w:sz w:val="18"/>
          <w:szCs w:val="18"/>
        </w:rPr>
        <w:t xml:space="preserve"> [indicare il termine non superiore a 30 giorni]</w:t>
      </w:r>
      <w:r w:rsidRPr="00F53D3E">
        <w:rPr>
          <w:rFonts w:ascii="Titillium" w:hAnsi="Titillium" w:cs="Calibri"/>
          <w:sz w:val="18"/>
          <w:szCs w:val="18"/>
        </w:rPr>
        <w:t xml:space="preserve"> giorni dal suo ricevimento.  Il termine è interrotto dalla richiesta di chiarimenti o documenti e inizia nuovamente a decorrere da quando i chiarimenti o documenti pervengono all’organo richiedente. Decorso tale termine la proposta di aggiudicazione si intende approvata.</w:t>
      </w:r>
    </w:p>
    <w:p w14:paraId="0982A465" w14:textId="3C7B2859" w:rsidR="004C53A8" w:rsidRPr="00F53D3E" w:rsidRDefault="00557FFB">
      <w:pPr>
        <w:spacing w:before="60" w:after="60"/>
        <w:rPr>
          <w:rFonts w:ascii="Titillium" w:hAnsi="Titillium" w:cs="Calibri"/>
          <w:sz w:val="18"/>
          <w:szCs w:val="18"/>
        </w:rPr>
      </w:pPr>
      <w:r w:rsidRPr="00F53D3E">
        <w:rPr>
          <w:rFonts w:ascii="Titillium" w:hAnsi="Titillium" w:cs="Calibri"/>
          <w:sz w:val="18"/>
          <w:szCs w:val="18"/>
        </w:rPr>
        <w:t>L</w:t>
      </w:r>
      <w:r w:rsidR="00870286" w:rsidRPr="00F53D3E">
        <w:rPr>
          <w:rFonts w:ascii="Titillium" w:hAnsi="Titillium" w:cs="Calibri"/>
          <w:sz w:val="18"/>
          <w:szCs w:val="18"/>
        </w:rPr>
        <w:t>’aggiudicazione diventa efficace all’esito positivo della verifica del possesso dei requisiti prescritti dal presente disciplinare.</w:t>
      </w:r>
    </w:p>
    <w:p w14:paraId="73E97A0D" w14:textId="14E76528"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 xml:space="preserve">In caso di esito negativo delle verifiche, </w:t>
      </w:r>
      <w:r w:rsidR="007B5801" w:rsidRPr="00F53D3E">
        <w:rPr>
          <w:rFonts w:ascii="Titillium" w:hAnsi="Titillium" w:cs="Calibri"/>
          <w:sz w:val="18"/>
          <w:szCs w:val="18"/>
        </w:rPr>
        <w:t>si</w:t>
      </w:r>
      <w:r w:rsidRPr="00F53D3E">
        <w:rPr>
          <w:rFonts w:ascii="Titillium" w:hAnsi="Titillium" w:cs="Calibri"/>
          <w:sz w:val="18"/>
          <w:szCs w:val="18"/>
        </w:rPr>
        <w:t xml:space="preserve"> procede alla revoca dell’aggiudicazione, alla segnalazione all’ANAC nonché all’incameramento della garanzia provvisoria. </w:t>
      </w:r>
      <w:r w:rsidR="007B5801" w:rsidRPr="00F53D3E">
        <w:rPr>
          <w:rFonts w:ascii="Titillium" w:hAnsi="Titillium" w:cs="Calibri"/>
          <w:sz w:val="18"/>
          <w:szCs w:val="18"/>
        </w:rPr>
        <w:t>L’appalto viene</w:t>
      </w:r>
      <w:r w:rsidRPr="00F53D3E">
        <w:rPr>
          <w:rFonts w:ascii="Titillium" w:hAnsi="Titillium" w:cs="Calibri"/>
          <w:sz w:val="18"/>
          <w:szCs w:val="18"/>
        </w:rPr>
        <w:t xml:space="preserve"> aggiudica</w:t>
      </w:r>
      <w:r w:rsidR="007B5801" w:rsidRPr="00F53D3E">
        <w:rPr>
          <w:rFonts w:ascii="Titillium" w:hAnsi="Titillium" w:cs="Calibri"/>
          <w:sz w:val="18"/>
          <w:szCs w:val="18"/>
        </w:rPr>
        <w:t>to</w:t>
      </w:r>
      <w:r w:rsidRPr="00F53D3E">
        <w:rPr>
          <w:rFonts w:ascii="Titillium" w:hAnsi="Titillium" w:cs="Calibri"/>
          <w:sz w:val="18"/>
          <w:szCs w:val="18"/>
        </w:rPr>
        <w:t>, quindi, al secondo graduato procedendo altresì, alle verifiche nei termini sopra indicati.</w:t>
      </w:r>
    </w:p>
    <w:p w14:paraId="5EFC29E0"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Nell’ipotesi in cui l’appalto non possa essere aggiudicato neppure a favore del concorrente collocato al secondo posto nella graduatoria, l’appalto viene aggiudicato, nei termini sopra detti, scorrendo la graduatoria.</w:t>
      </w:r>
    </w:p>
    <w:p w14:paraId="0ADF589C" w14:textId="3655749E" w:rsidR="004C53A8" w:rsidRPr="00F53D3E" w:rsidRDefault="00870286">
      <w:pPr>
        <w:spacing w:before="60" w:after="60"/>
      </w:pPr>
      <w:r w:rsidRPr="00F53D3E">
        <w:rPr>
          <w:rFonts w:ascii="Titillium" w:hAnsi="Titillium" w:cs="Calibri"/>
          <w:sz w:val="18"/>
          <w:szCs w:val="18"/>
        </w:rPr>
        <w:t xml:space="preserve">La stipula </w:t>
      </w:r>
      <w:r w:rsidR="007B5801" w:rsidRPr="00F53D3E">
        <w:rPr>
          <w:rFonts w:ascii="Titillium" w:hAnsi="Titillium" w:cs="Calibri"/>
          <w:sz w:val="18"/>
          <w:szCs w:val="18"/>
        </w:rPr>
        <w:t>del contratto avviene</w:t>
      </w:r>
      <w:r w:rsidRPr="00F53D3E">
        <w:rPr>
          <w:rFonts w:ascii="Titillium" w:hAnsi="Titillium" w:cs="Calibri"/>
          <w:sz w:val="18"/>
          <w:szCs w:val="18"/>
        </w:rPr>
        <w:t xml:space="preserve"> entro </w:t>
      </w:r>
      <w:r w:rsidR="007B5801" w:rsidRPr="00F53D3E">
        <w:rPr>
          <w:rFonts w:ascii="Titillium" w:hAnsi="Titillium" w:cs="Calibri"/>
          <w:sz w:val="18"/>
          <w:szCs w:val="18"/>
        </w:rPr>
        <w:t>…</w:t>
      </w:r>
      <w:r w:rsidRPr="00F53D3E">
        <w:rPr>
          <w:rFonts w:ascii="Titillium" w:hAnsi="Titillium" w:cs="Calibri"/>
          <w:sz w:val="18"/>
          <w:szCs w:val="18"/>
        </w:rPr>
        <w:t xml:space="preserve"> [</w:t>
      </w:r>
      <w:r w:rsidR="007B5801" w:rsidRPr="00F53D3E">
        <w:rPr>
          <w:rFonts w:ascii="Titillium" w:hAnsi="Titillium" w:cs="Calibri"/>
          <w:i/>
          <w:sz w:val="18"/>
          <w:szCs w:val="18"/>
        </w:rPr>
        <w:t xml:space="preserve">di norma 60 giorni, </w:t>
      </w:r>
      <w:r w:rsidRPr="00F53D3E">
        <w:rPr>
          <w:rFonts w:ascii="Titillium" w:hAnsi="Titillium" w:cs="Calibri"/>
          <w:i/>
          <w:sz w:val="18"/>
          <w:szCs w:val="18"/>
        </w:rPr>
        <w:t>la stazione appaltante può stabilire un termine diverso</w:t>
      </w:r>
      <w:r w:rsidRPr="00F53D3E">
        <w:rPr>
          <w:rFonts w:ascii="Titillium" w:hAnsi="Titillium" w:cs="Calibri"/>
          <w:sz w:val="18"/>
          <w:szCs w:val="18"/>
        </w:rPr>
        <w:t xml:space="preserve">] </w:t>
      </w:r>
      <w:r w:rsidR="007B5801" w:rsidRPr="00F53D3E">
        <w:rPr>
          <w:rFonts w:ascii="Titillium" w:hAnsi="Titillium" w:cs="Calibri"/>
          <w:sz w:val="18"/>
          <w:szCs w:val="18"/>
        </w:rPr>
        <w:t xml:space="preserve">giorni </w:t>
      </w:r>
      <w:r w:rsidRPr="00F53D3E">
        <w:rPr>
          <w:rFonts w:ascii="Titillium" w:hAnsi="Titillium" w:cs="Calibri"/>
          <w:sz w:val="18"/>
          <w:szCs w:val="18"/>
        </w:rPr>
        <w:t xml:space="preserve">dall’intervenuta efficacia dell’aggiudicazione. </w:t>
      </w:r>
    </w:p>
    <w:p w14:paraId="3557112B" w14:textId="41E7954C" w:rsidR="004C53A8" w:rsidRPr="00F53D3E" w:rsidRDefault="00870286">
      <w:pPr>
        <w:spacing w:before="60" w:after="60"/>
      </w:pPr>
      <w:r w:rsidRPr="00F53D3E">
        <w:rPr>
          <w:rFonts w:ascii="Titillium" w:hAnsi="Titillium" w:cs="Calibri"/>
          <w:sz w:val="18"/>
          <w:szCs w:val="18"/>
        </w:rPr>
        <w:t>[</w:t>
      </w:r>
      <w:r w:rsidRPr="00F53D3E">
        <w:rPr>
          <w:rFonts w:ascii="Titillium" w:hAnsi="Titillium" w:cs="Calibri"/>
          <w:b/>
          <w:i/>
          <w:sz w:val="18"/>
          <w:szCs w:val="18"/>
        </w:rPr>
        <w:t>Facoltativo</w:t>
      </w:r>
      <w:r w:rsidRPr="00F53D3E">
        <w:rPr>
          <w:rFonts w:ascii="Titillium" w:hAnsi="Titillium" w:cs="Calibri"/>
          <w:sz w:val="18"/>
          <w:szCs w:val="18"/>
        </w:rPr>
        <w:t xml:space="preserve">] A seguito di richiesta motivata proveniente dall’aggiudicatario la data di stipula del contratto può essere differita purché </w:t>
      </w:r>
      <w:r w:rsidR="007B5801" w:rsidRPr="00F53D3E">
        <w:rPr>
          <w:rFonts w:ascii="Titillium" w:hAnsi="Titillium" w:cs="Calibri"/>
          <w:sz w:val="18"/>
          <w:szCs w:val="18"/>
        </w:rPr>
        <w:t>ritenuta</w:t>
      </w:r>
      <w:r w:rsidRPr="00F53D3E">
        <w:rPr>
          <w:rFonts w:ascii="Titillium" w:hAnsi="Titillium" w:cs="Calibri"/>
          <w:sz w:val="18"/>
          <w:szCs w:val="18"/>
        </w:rPr>
        <w:t xml:space="preserve"> compatibile con la solle</w:t>
      </w:r>
      <w:r w:rsidR="007B5801" w:rsidRPr="00F53D3E">
        <w:rPr>
          <w:rFonts w:ascii="Titillium" w:hAnsi="Titillium" w:cs="Calibri"/>
          <w:sz w:val="18"/>
          <w:szCs w:val="18"/>
        </w:rPr>
        <w:t>cita esecuzione del</w:t>
      </w:r>
      <w:r w:rsidRPr="00F53D3E">
        <w:rPr>
          <w:rFonts w:ascii="Titillium" w:hAnsi="Titillium" w:cs="Calibri"/>
          <w:sz w:val="18"/>
          <w:szCs w:val="18"/>
        </w:rPr>
        <w:t xml:space="preserve"> contratto stesso.</w:t>
      </w:r>
    </w:p>
    <w:p w14:paraId="0AA925EE"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La garanzia provvisoria è svincolata, all’aggiudicatario, automaticamente al momento della stipula del contratto; agli altri concorrenti, è svincolata tempestivamente e comunque entro trenta giorni dalla comunicazione dell’avvenuta aggiudicazione.</w:t>
      </w:r>
    </w:p>
    <w:p w14:paraId="1620E172" w14:textId="10CBC7C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 xml:space="preserve">Il contratto </w:t>
      </w:r>
      <w:r w:rsidR="00490FE0" w:rsidRPr="00F53D3E">
        <w:rPr>
          <w:rFonts w:ascii="Titillium" w:hAnsi="Titillium" w:cs="Calibri"/>
          <w:sz w:val="18"/>
          <w:szCs w:val="18"/>
        </w:rPr>
        <w:t>è</w:t>
      </w:r>
      <w:r w:rsidRPr="00F53D3E">
        <w:rPr>
          <w:rFonts w:ascii="Titillium" w:hAnsi="Titillium" w:cs="Calibri"/>
          <w:sz w:val="18"/>
          <w:szCs w:val="18"/>
        </w:rPr>
        <w:t xml:space="preserve"> stipulato </w:t>
      </w:r>
      <w:r w:rsidR="00490FE0" w:rsidRPr="00F53D3E">
        <w:rPr>
          <w:rFonts w:ascii="Titillium" w:hAnsi="Titillium" w:cs="Calibri"/>
          <w:sz w:val="18"/>
          <w:szCs w:val="18"/>
        </w:rPr>
        <w:t>trascorsi</w:t>
      </w:r>
      <w:r w:rsidRPr="00F53D3E">
        <w:rPr>
          <w:rFonts w:ascii="Titillium" w:hAnsi="Titillium" w:cs="Calibri"/>
          <w:sz w:val="18"/>
          <w:szCs w:val="18"/>
        </w:rPr>
        <w:t xml:space="preserve"> 35 giorni dall’invio dell’ultima delle comunicazioni del provvedimento di aggiudicazione.</w:t>
      </w:r>
    </w:p>
    <w:p w14:paraId="06759EEB"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All’atto della stipulazione del contratto, l’aggiudicatario deve presentare la garanzia definitiva da calcolare sull’importo contrattuale, secondo le misure e le modalità previste dall’articolo 103 del Codice.</w:t>
      </w:r>
    </w:p>
    <w:tbl>
      <w:tblPr>
        <w:tblW w:w="8994" w:type="dxa"/>
        <w:tblInd w:w="108" w:type="dxa"/>
        <w:tblLook w:val="04A0" w:firstRow="1" w:lastRow="0" w:firstColumn="1" w:lastColumn="0" w:noHBand="0" w:noVBand="1"/>
      </w:tblPr>
      <w:tblGrid>
        <w:gridCol w:w="8994"/>
      </w:tblGrid>
      <w:tr w:rsidR="004C53A8" w14:paraId="64EE285E" w14:textId="77777777">
        <w:tc>
          <w:tcPr>
            <w:tcW w:w="8994" w:type="dxa"/>
            <w:tcBorders>
              <w:top w:val="single" w:sz="4" w:space="0" w:color="000000"/>
              <w:left w:val="single" w:sz="4" w:space="0" w:color="000000"/>
              <w:bottom w:val="single" w:sz="4" w:space="0" w:color="000000"/>
              <w:right w:val="single" w:sz="4" w:space="0" w:color="000000"/>
            </w:tcBorders>
          </w:tcPr>
          <w:p w14:paraId="695E624E" w14:textId="4190DAF5" w:rsidR="004C53A8" w:rsidRDefault="00870286" w:rsidP="00F53D3E">
            <w:pPr>
              <w:spacing w:before="60" w:after="60"/>
              <w:rPr>
                <w:rFonts w:ascii="Titillium" w:hAnsi="Titillium" w:cs="Calibri"/>
                <w:i/>
                <w:sz w:val="18"/>
                <w:szCs w:val="18"/>
              </w:rPr>
            </w:pPr>
            <w:r w:rsidRPr="00F53D3E">
              <w:rPr>
                <w:rFonts w:ascii="Titillium" w:hAnsi="Titillium" w:cs="Calibri"/>
                <w:i/>
                <w:sz w:val="18"/>
                <w:szCs w:val="18"/>
              </w:rPr>
              <w:t>N.B.</w:t>
            </w:r>
            <w:r w:rsidR="00F53D3E" w:rsidRPr="00F53D3E">
              <w:rPr>
                <w:rFonts w:ascii="Titillium" w:hAnsi="Titillium" w:cs="Calibri"/>
                <w:i/>
                <w:sz w:val="18"/>
                <w:szCs w:val="18"/>
              </w:rPr>
              <w:t xml:space="preserve"> </w:t>
            </w:r>
            <w:r w:rsidRPr="00F53D3E">
              <w:rPr>
                <w:rFonts w:ascii="Titillium" w:hAnsi="Titillium" w:cs="Calibri"/>
                <w:i/>
                <w:sz w:val="18"/>
                <w:szCs w:val="18"/>
              </w:rPr>
              <w:t xml:space="preserve"> </w:t>
            </w:r>
            <w:r w:rsidR="00F53D3E" w:rsidRPr="00F53D3E">
              <w:rPr>
                <w:rFonts w:ascii="Titillium" w:hAnsi="Titillium" w:cs="Calibri"/>
                <w:i/>
                <w:sz w:val="18"/>
                <w:szCs w:val="18"/>
              </w:rPr>
              <w:t>A</w:t>
            </w:r>
            <w:r w:rsidRPr="00F53D3E">
              <w:rPr>
                <w:rFonts w:ascii="Titillium" w:hAnsi="Titillium" w:cs="Calibri"/>
                <w:i/>
                <w:sz w:val="18"/>
                <w:szCs w:val="18"/>
              </w:rPr>
              <w:t>i sensi dell’articolo 103, comma 11 del Codice, qualora l’appalto debba essere eseguito da operatori economici di comprovata solidità ovvero nel caso di appalto avente ad oggetto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00490FE0" w:rsidRPr="00F53D3E">
              <w:rPr>
                <w:sz w:val="20"/>
              </w:rPr>
              <w:t xml:space="preserve"> </w:t>
            </w:r>
            <w:r w:rsidRPr="00F53D3E">
              <w:rPr>
                <w:rFonts w:ascii="Titillium" w:hAnsi="Titillium" w:cs="Calibri"/>
                <w:i/>
                <w:sz w:val="18"/>
                <w:szCs w:val="18"/>
              </w:rPr>
              <w:t>la stazione appaltante può modificare la clausola sopra indicata prevedendo l’esonero della presentazione della garanzia definitiva, sulla base di adeguata motivazione, subordinatamente ad un  miglioramento del prezzo di aggiudicazione..</w:t>
            </w:r>
          </w:p>
        </w:tc>
      </w:tr>
    </w:tbl>
    <w:p w14:paraId="4561EE36" w14:textId="77777777" w:rsidR="00490FE0" w:rsidRDefault="00490FE0">
      <w:pPr>
        <w:spacing w:before="60" w:after="60"/>
        <w:rPr>
          <w:rFonts w:ascii="Titillium" w:hAnsi="Titillium" w:cs="Calibri"/>
          <w:sz w:val="18"/>
          <w:szCs w:val="18"/>
        </w:rPr>
      </w:pPr>
    </w:p>
    <w:p w14:paraId="1F8F9CC8" w14:textId="52F93905" w:rsidR="004C53A8" w:rsidRDefault="00870286">
      <w:pPr>
        <w:spacing w:before="60" w:after="60"/>
        <w:rPr>
          <w:rFonts w:ascii="Titillium" w:hAnsi="Titillium" w:cs="Calibri"/>
          <w:sz w:val="18"/>
          <w:szCs w:val="18"/>
        </w:rPr>
      </w:pPr>
      <w:r>
        <w:rPr>
          <w:rFonts w:ascii="Titillium" w:hAnsi="Titillium" w:cs="Calibri"/>
          <w:sz w:val="18"/>
          <w:szCs w:val="18"/>
        </w:rPr>
        <w:t>L’aggiudicatario deposita, prima o contestualmente alla sottoscrizione del contratto di appalto, i contratti continuativi di cooperazione, servizio e/o fornitura di cui all’art</w:t>
      </w:r>
      <w:r w:rsidR="00490FE0">
        <w:rPr>
          <w:rFonts w:ascii="Titillium" w:hAnsi="Titillium" w:cs="Calibri"/>
          <w:sz w:val="18"/>
          <w:szCs w:val="18"/>
        </w:rPr>
        <w:t>icolo</w:t>
      </w:r>
      <w:r>
        <w:rPr>
          <w:rFonts w:ascii="Titillium" w:hAnsi="Titillium" w:cs="Calibri"/>
          <w:sz w:val="18"/>
          <w:szCs w:val="18"/>
        </w:rPr>
        <w:t xml:space="preserve"> 105, comma 3, lett</w:t>
      </w:r>
      <w:r w:rsidR="00490FE0">
        <w:rPr>
          <w:rFonts w:ascii="Titillium" w:hAnsi="Titillium" w:cs="Calibri"/>
          <w:sz w:val="18"/>
          <w:szCs w:val="18"/>
        </w:rPr>
        <w:t>era</w:t>
      </w:r>
      <w:r>
        <w:rPr>
          <w:rFonts w:ascii="Titillium" w:hAnsi="Titillium" w:cs="Calibri"/>
          <w:sz w:val="18"/>
          <w:szCs w:val="18"/>
        </w:rPr>
        <w:t xml:space="preserve"> c bis) del Codice.</w:t>
      </w:r>
    </w:p>
    <w:p w14:paraId="637E5715" w14:textId="746ACC19" w:rsidR="004C53A8" w:rsidRDefault="00557FFB">
      <w:pPr>
        <w:spacing w:before="60" w:after="60"/>
        <w:rPr>
          <w:rFonts w:ascii="Titillium" w:hAnsi="Titillium" w:cs="Calibri"/>
          <w:sz w:val="18"/>
          <w:szCs w:val="18"/>
        </w:rPr>
      </w:pPr>
      <w:r>
        <w:rPr>
          <w:rFonts w:ascii="Titillium" w:hAnsi="Titillium" w:cs="Calibri"/>
          <w:sz w:val="18"/>
          <w:szCs w:val="18"/>
        </w:rPr>
        <w:t>L</w:t>
      </w:r>
      <w:r w:rsidR="00870286">
        <w:rPr>
          <w:rFonts w:ascii="Titillium" w:hAnsi="Titillium" w:cs="Calibri"/>
          <w:sz w:val="18"/>
          <w:szCs w:val="18"/>
        </w:rPr>
        <w:t>’affidatario comunica, per ogni sub-contratto che non costituisce subappalto, l’importo e l’oggetto del medesimo, nonché il nome del sub-contraente, prima dell’inizio della prestazione.</w:t>
      </w:r>
    </w:p>
    <w:p w14:paraId="1E9D0F1A" w14:textId="77777777" w:rsidR="004C53A8" w:rsidRDefault="00870286">
      <w:pPr>
        <w:spacing w:before="60" w:after="60"/>
      </w:pPr>
      <w:r>
        <w:rPr>
          <w:rFonts w:ascii="Titillium" w:hAnsi="Titillium" w:cs="Calibri"/>
          <w:sz w:val="18"/>
          <w:szCs w:val="18"/>
        </w:rPr>
        <w:t xml:space="preserve">Il contratto è stipulato … </w:t>
      </w:r>
      <w:r>
        <w:rPr>
          <w:rFonts w:ascii="Titillium" w:hAnsi="Titillium" w:cs="Calibri"/>
          <w:i/>
          <w:sz w:val="18"/>
          <w:szCs w:val="18"/>
        </w:rPr>
        <w:t xml:space="preserve">[indicare </w:t>
      </w:r>
      <w:r>
        <w:rPr>
          <w:rFonts w:ascii="Titillium" w:hAnsi="Titillium" w:cs="Calibri"/>
          <w:sz w:val="18"/>
          <w:szCs w:val="18"/>
        </w:rPr>
        <w:t xml:space="preserve">“con atto pubblico notarile informatico” </w:t>
      </w:r>
      <w:r>
        <w:rPr>
          <w:rFonts w:ascii="Titillium" w:hAnsi="Titillium" w:cs="Calibri"/>
          <w:i/>
          <w:sz w:val="18"/>
          <w:szCs w:val="18"/>
        </w:rPr>
        <w:t>oppure</w:t>
      </w:r>
      <w:r>
        <w:rPr>
          <w:rFonts w:ascii="Titillium" w:hAnsi="Titillium" w:cs="Calibri"/>
          <w:sz w:val="18"/>
          <w:szCs w:val="18"/>
        </w:rPr>
        <w:t xml:space="preserve"> “in modalità elettronica, in forma pubblica amministrativa a cura dell'Ufficiale rogante” </w:t>
      </w:r>
      <w:r>
        <w:rPr>
          <w:rFonts w:ascii="Titillium" w:hAnsi="Titillium" w:cs="Calibri"/>
          <w:i/>
          <w:sz w:val="18"/>
          <w:szCs w:val="18"/>
        </w:rPr>
        <w:t>oppure</w:t>
      </w:r>
      <w:r>
        <w:rPr>
          <w:rFonts w:ascii="Titillium" w:hAnsi="Titillium" w:cs="Calibri"/>
          <w:sz w:val="18"/>
          <w:szCs w:val="18"/>
        </w:rPr>
        <w:t xml:space="preserve"> “in modalità elettronica, mediante scrittura privata”</w:t>
      </w:r>
      <w:r>
        <w:rPr>
          <w:rFonts w:ascii="Titillium" w:hAnsi="Titillium" w:cs="Calibri"/>
          <w:i/>
          <w:sz w:val="18"/>
          <w:szCs w:val="18"/>
        </w:rPr>
        <w:t>].</w:t>
      </w:r>
    </w:p>
    <w:p w14:paraId="186434CB" w14:textId="7B7C2622" w:rsidR="004C53A8" w:rsidRDefault="00870286">
      <w:pPr>
        <w:spacing w:before="60" w:after="60"/>
      </w:pPr>
      <w:r w:rsidRPr="00557FFB">
        <w:rPr>
          <w:rFonts w:ascii="Titillium" w:hAnsi="Titillium" w:cs="Calibri"/>
          <w:sz w:val="18"/>
          <w:szCs w:val="18"/>
        </w:rPr>
        <w:t>Le spese obbligatorie relative alla pubblicazione</w:t>
      </w:r>
      <w:r>
        <w:rPr>
          <w:rFonts w:ascii="Titillium" w:hAnsi="Titillium" w:cs="Calibri"/>
          <w:sz w:val="18"/>
          <w:szCs w:val="18"/>
        </w:rPr>
        <w:t xml:space="preserve"> del bando e dell’avviso sui risultati della procedura di affidamento sono a carico dell’aggiudicatario e devono essere rimborsate entro il termine di sessanta giorni dall’aggiudicazione con le </w:t>
      </w:r>
      <w:r w:rsidR="003B5606">
        <w:rPr>
          <w:rFonts w:ascii="Titillium" w:hAnsi="Titillium" w:cs="Calibri"/>
          <w:sz w:val="18"/>
          <w:szCs w:val="18"/>
        </w:rPr>
        <w:t xml:space="preserve">seguenti </w:t>
      </w:r>
      <w:r>
        <w:rPr>
          <w:rFonts w:ascii="Titillium" w:hAnsi="Titillium" w:cs="Calibri"/>
          <w:sz w:val="18"/>
          <w:szCs w:val="18"/>
        </w:rPr>
        <w:t xml:space="preserve">modalità </w:t>
      </w:r>
      <w:r w:rsidR="003B5606">
        <w:rPr>
          <w:rFonts w:ascii="Titillium" w:hAnsi="Titillium" w:cs="Calibri"/>
          <w:sz w:val="18"/>
          <w:szCs w:val="18"/>
        </w:rPr>
        <w:t xml:space="preserve">… </w:t>
      </w:r>
      <w:r w:rsidR="00FA3C31" w:rsidRPr="00FA3C31">
        <w:rPr>
          <w:rFonts w:ascii="Titillium" w:hAnsi="Titillium" w:cs="Calibri"/>
          <w:i/>
          <w:sz w:val="18"/>
          <w:szCs w:val="18"/>
        </w:rPr>
        <w:t>[</w:t>
      </w:r>
      <w:r w:rsidR="003B5606" w:rsidRPr="00FA3C31">
        <w:rPr>
          <w:rFonts w:ascii="Titillium" w:hAnsi="Titillium" w:cs="Calibri"/>
          <w:i/>
          <w:sz w:val="18"/>
          <w:szCs w:val="18"/>
        </w:rPr>
        <w:t>indicare le modalità</w:t>
      </w:r>
      <w:r w:rsidR="00FA3C31" w:rsidRPr="00FA3C31">
        <w:rPr>
          <w:rFonts w:ascii="Titillium" w:hAnsi="Titillium" w:cs="Calibri"/>
          <w:i/>
          <w:sz w:val="18"/>
          <w:szCs w:val="18"/>
        </w:rPr>
        <w:t>]</w:t>
      </w:r>
      <w:r>
        <w:rPr>
          <w:rFonts w:ascii="Titillium" w:hAnsi="Titillium" w:cs="Calibri"/>
          <w:sz w:val="18"/>
          <w:szCs w:val="18"/>
        </w:rPr>
        <w:t xml:space="preserve">. L’importo </w:t>
      </w:r>
      <w:r w:rsidR="0057722A">
        <w:rPr>
          <w:rFonts w:ascii="Titillium" w:hAnsi="Titillium" w:cs="Calibri"/>
          <w:sz w:val="18"/>
          <w:szCs w:val="18"/>
        </w:rPr>
        <w:t xml:space="preserve">massimo </w:t>
      </w:r>
      <w:r w:rsidR="003B5606">
        <w:rPr>
          <w:rFonts w:ascii="Titillium" w:hAnsi="Titillium" w:cs="Calibri"/>
          <w:sz w:val="18"/>
          <w:szCs w:val="18"/>
        </w:rPr>
        <w:t xml:space="preserve">presunto </w:t>
      </w:r>
      <w:r>
        <w:rPr>
          <w:rFonts w:ascii="Titillium" w:hAnsi="Titillium" w:cs="Calibri"/>
          <w:sz w:val="18"/>
          <w:szCs w:val="18"/>
        </w:rPr>
        <w:t xml:space="preserve">delle spese obbligatorie di pubblicazione è pari a € … </w:t>
      </w:r>
      <w:r w:rsidR="00777306" w:rsidRPr="00777306">
        <w:rPr>
          <w:rFonts w:ascii="Titillium" w:hAnsi="Titillium" w:cs="Calibri"/>
          <w:i/>
          <w:sz w:val="18"/>
          <w:szCs w:val="18"/>
        </w:rPr>
        <w:t>[</w:t>
      </w:r>
      <w:r w:rsidR="003B5606" w:rsidRPr="00777306">
        <w:rPr>
          <w:rFonts w:ascii="Titillium" w:hAnsi="Titillium" w:cs="Calibri"/>
          <w:i/>
          <w:sz w:val="18"/>
          <w:szCs w:val="18"/>
        </w:rPr>
        <w:t>indicare l’importo presunto</w:t>
      </w:r>
      <w:r w:rsidR="00777306" w:rsidRPr="00777306">
        <w:rPr>
          <w:rFonts w:ascii="Titillium" w:hAnsi="Titillium" w:cs="Calibri"/>
          <w:i/>
          <w:sz w:val="18"/>
          <w:szCs w:val="18"/>
        </w:rPr>
        <w:t>]</w:t>
      </w:r>
      <w:r w:rsidR="003B5606">
        <w:rPr>
          <w:rFonts w:ascii="Titillium" w:hAnsi="Titillium" w:cs="Calibri"/>
          <w:sz w:val="18"/>
          <w:szCs w:val="18"/>
        </w:rPr>
        <w:t xml:space="preserve">. </w:t>
      </w:r>
      <w:r w:rsidRPr="003B5606">
        <w:rPr>
          <w:rFonts w:ascii="Titillium" w:hAnsi="Titillium" w:cs="Calibri"/>
          <w:sz w:val="18"/>
          <w:szCs w:val="18"/>
        </w:rPr>
        <w:t>Sono comunicati tempestivamente all</w:t>
      </w:r>
      <w:r w:rsidRPr="003B5606">
        <w:rPr>
          <w:rFonts w:ascii="Titillium" w:hAnsi="Titillium" w:cs="Calibri" w:hint="eastAsia"/>
          <w:sz w:val="18"/>
          <w:szCs w:val="18"/>
        </w:rPr>
        <w:t>’</w:t>
      </w:r>
      <w:r w:rsidRPr="003B5606">
        <w:rPr>
          <w:rFonts w:ascii="Titillium" w:hAnsi="Titillium" w:cs="Calibri"/>
          <w:sz w:val="18"/>
          <w:szCs w:val="18"/>
        </w:rPr>
        <w:t>aggiudicatario eventuali scostamenti dall</w:t>
      </w:r>
      <w:r w:rsidRPr="003B5606">
        <w:rPr>
          <w:rFonts w:ascii="Titillium" w:hAnsi="Titillium" w:cs="Calibri" w:hint="eastAsia"/>
          <w:sz w:val="18"/>
          <w:szCs w:val="18"/>
        </w:rPr>
        <w:t>’</w:t>
      </w:r>
      <w:r w:rsidRPr="003B5606">
        <w:rPr>
          <w:rFonts w:ascii="Titillium" w:hAnsi="Titillium" w:cs="Calibri"/>
          <w:sz w:val="18"/>
          <w:szCs w:val="18"/>
        </w:rPr>
        <w:t>importo indicato.</w:t>
      </w:r>
    </w:p>
    <w:p w14:paraId="574A17F0" w14:textId="22E8B7AC" w:rsidR="004C53A8" w:rsidRDefault="00870286">
      <w:pPr>
        <w:spacing w:before="60" w:after="60"/>
      </w:pPr>
      <w:r>
        <w:rPr>
          <w:rFonts w:ascii="Titillium" w:hAnsi="Titillium" w:cs="Calibri"/>
          <w:b/>
          <w:i/>
          <w:sz w:val="18"/>
          <w:szCs w:val="18"/>
        </w:rPr>
        <w:t>[Facoltativo: in caso di suddivisione dell’appalto in lotti]</w:t>
      </w:r>
      <w:r w:rsidR="003B5606">
        <w:rPr>
          <w:rFonts w:ascii="Titillium" w:hAnsi="Titillium" w:cs="Calibri"/>
          <w:b/>
          <w:i/>
          <w:sz w:val="18"/>
          <w:szCs w:val="18"/>
        </w:rPr>
        <w:t xml:space="preserve"> </w:t>
      </w:r>
      <w:r>
        <w:rPr>
          <w:rFonts w:ascii="Titillium" w:hAnsi="Titillium" w:cs="Calibri"/>
          <w:sz w:val="18"/>
          <w:szCs w:val="18"/>
        </w:rPr>
        <w:t>Le spese relative alla pubblicazione sono suddivise tra gli aggiudicatari dei lotti in proporzione al relativo valore</w:t>
      </w:r>
      <w:r w:rsidR="00557FFB">
        <w:rPr>
          <w:rFonts w:ascii="Titillium" w:hAnsi="Titillium" w:cs="Calibri"/>
          <w:sz w:val="18"/>
          <w:szCs w:val="18"/>
        </w:rPr>
        <w:t>, secondo il seguente metodo …</w:t>
      </w:r>
      <w:r>
        <w:rPr>
          <w:rFonts w:ascii="Titillium" w:hAnsi="Titillium" w:cs="Calibri"/>
          <w:sz w:val="18"/>
          <w:szCs w:val="18"/>
        </w:rPr>
        <w:t xml:space="preserve"> </w:t>
      </w:r>
      <w:r>
        <w:rPr>
          <w:rFonts w:ascii="Titillium" w:hAnsi="Titillium" w:cs="Calibri"/>
          <w:i/>
          <w:sz w:val="18"/>
          <w:szCs w:val="18"/>
        </w:rPr>
        <w:t>[</w:t>
      </w:r>
      <w:r w:rsidR="00557FFB">
        <w:rPr>
          <w:rFonts w:ascii="Titillium" w:hAnsi="Titillium" w:cs="Calibri"/>
          <w:i/>
          <w:sz w:val="18"/>
          <w:szCs w:val="18"/>
        </w:rPr>
        <w:t>indicare</w:t>
      </w:r>
      <w:r>
        <w:rPr>
          <w:rFonts w:ascii="Titillium" w:hAnsi="Titillium" w:cs="Calibri"/>
          <w:i/>
          <w:sz w:val="18"/>
          <w:szCs w:val="18"/>
        </w:rPr>
        <w:t>].</w:t>
      </w:r>
    </w:p>
    <w:p w14:paraId="50853F9F" w14:textId="3B622133" w:rsidR="004C53A8" w:rsidRPr="00557FFB" w:rsidRDefault="00870286">
      <w:pPr>
        <w:spacing w:before="60" w:after="60"/>
      </w:pPr>
      <w:r>
        <w:rPr>
          <w:rFonts w:ascii="Titillium" w:hAnsi="Titillium" w:cs="Calibri"/>
          <w:b/>
          <w:i/>
          <w:sz w:val="18"/>
          <w:szCs w:val="18"/>
        </w:rPr>
        <w:t>[Facoltativo: in caso di rimborso rateizzato delle spese di pubblicazione]</w:t>
      </w:r>
      <w:r>
        <w:rPr>
          <w:rFonts w:ascii="Titillium" w:hAnsi="Titillium" w:cs="Calibri"/>
          <w:sz w:val="18"/>
          <w:szCs w:val="18"/>
        </w:rPr>
        <w:t xml:space="preserve"> La stazione appaltante, su richiesta dell’aggiudicatario, </w:t>
      </w:r>
      <w:r w:rsidRPr="00557FFB">
        <w:rPr>
          <w:rFonts w:ascii="Titillium" w:hAnsi="Titillium" w:cs="Calibri"/>
          <w:sz w:val="18"/>
          <w:szCs w:val="18"/>
        </w:rPr>
        <w:t>consente il rimborso rateizzato delle spese di pubblicazione.</w:t>
      </w:r>
    </w:p>
    <w:p w14:paraId="22E68870" w14:textId="77777777" w:rsidR="004C53A8" w:rsidRDefault="00870286">
      <w:pPr>
        <w:widowControl w:val="0"/>
        <w:spacing w:before="60" w:after="60"/>
      </w:pPr>
      <w:r w:rsidRPr="00557FFB">
        <w:rPr>
          <w:rFonts w:ascii="Titillium" w:hAnsi="Titillium" w:cs="Calibri"/>
          <w:sz w:val="18"/>
          <w:szCs w:val="18"/>
          <w:lang w:eastAsia="it-IT"/>
        </w:rPr>
        <w:t>Sono a carico dell’aggiudicatario tutte le spese contrattuali, gli oneri fiscali quali imposte e tasse - ivi comprese quelle di</w:t>
      </w:r>
      <w:r>
        <w:rPr>
          <w:rFonts w:ascii="Titillium" w:hAnsi="Titillium" w:cs="Calibri"/>
          <w:sz w:val="18"/>
          <w:szCs w:val="18"/>
          <w:lang w:eastAsia="it-IT"/>
        </w:rPr>
        <w:t xml:space="preserve"> registro ove dovute - relative alla stipulazione del contratto. </w:t>
      </w:r>
    </w:p>
    <w:p w14:paraId="010CE3B8" w14:textId="7086BDD7" w:rsidR="004C53A8" w:rsidRDefault="004C667D" w:rsidP="00601972">
      <w:pPr>
        <w:pStyle w:val="Titolo2"/>
        <w:numPr>
          <w:ilvl w:val="0"/>
          <w:numId w:val="27"/>
        </w:numPr>
        <w:ind w:left="357" w:hanging="357"/>
      </w:pPr>
      <w:bookmarkStart w:id="3066" w:name="_Toc95495921"/>
      <w:r>
        <w:rPr>
          <w:rFonts w:ascii="Titillium" w:hAnsi="Titillium"/>
          <w:caps w:val="0"/>
          <w:sz w:val="18"/>
          <w:szCs w:val="18"/>
        </w:rPr>
        <w:t>OBBLIGHI RELATIVI ALLA TRACCIABILITÀ DEI FLUSSI FINANZIARI</w:t>
      </w:r>
      <w:bookmarkEnd w:id="3066"/>
      <w:r>
        <w:rPr>
          <w:rFonts w:ascii="Titillium" w:hAnsi="Titillium"/>
          <w:caps w:val="0"/>
          <w:sz w:val="18"/>
          <w:szCs w:val="18"/>
        </w:rPr>
        <w:t xml:space="preserve"> </w:t>
      </w:r>
    </w:p>
    <w:p w14:paraId="6688B1B4" w14:textId="16EE4446" w:rsidR="004C53A8" w:rsidRDefault="00870286">
      <w:pPr>
        <w:rPr>
          <w:rFonts w:ascii="Titillium" w:hAnsi="Titillium"/>
          <w:sz w:val="18"/>
          <w:szCs w:val="18"/>
        </w:rPr>
      </w:pPr>
      <w:r>
        <w:rPr>
          <w:rFonts w:ascii="Titillium" w:hAnsi="Titillium"/>
          <w:sz w:val="18"/>
          <w:szCs w:val="18"/>
        </w:rPr>
        <w:t xml:space="preserve">Il contratto d’appalto è soggetto agli obblighi in tema di tracciabilità dei flussi finanziari di cui alla </w:t>
      </w:r>
      <w:r w:rsidR="007868F0">
        <w:rPr>
          <w:rFonts w:ascii="Titillium" w:hAnsi="Titillium"/>
          <w:sz w:val="18"/>
          <w:szCs w:val="18"/>
        </w:rPr>
        <w:t>legge</w:t>
      </w:r>
      <w:r>
        <w:rPr>
          <w:rFonts w:ascii="Titillium" w:hAnsi="Titillium"/>
          <w:sz w:val="18"/>
          <w:szCs w:val="18"/>
        </w:rPr>
        <w:t xml:space="preserve"> 13 agosto 2010, n. 136.</w:t>
      </w:r>
    </w:p>
    <w:p w14:paraId="25163882" w14:textId="77777777" w:rsidR="004C53A8" w:rsidRDefault="00870286">
      <w:pPr>
        <w:rPr>
          <w:rFonts w:ascii="Titillium" w:hAnsi="Titillium"/>
          <w:sz w:val="18"/>
          <w:szCs w:val="18"/>
        </w:rPr>
      </w:pPr>
      <w:r>
        <w:rPr>
          <w:rFonts w:ascii="Titillium" w:hAnsi="Titillium"/>
          <w:sz w:val="18"/>
          <w:szCs w:val="18"/>
        </w:rPr>
        <w:t>L’affidatario deve comunicare alla stazione appaltante:</w:t>
      </w:r>
    </w:p>
    <w:p w14:paraId="6082AAAB"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gli estremi identificativi dei conti correnti bancari o postali dedicati, con l'indicazione dell'opera/servizio/fornitura alla quale sono dedicati;</w:t>
      </w:r>
    </w:p>
    <w:p w14:paraId="0FDA3AFD"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le generalità e il codice fiscale delle persone delegate ad operare sugli stessi;</w:t>
      </w:r>
    </w:p>
    <w:p w14:paraId="4215BFB8"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 xml:space="preserve">ogni modifica relativa ai dati trasmessi. </w:t>
      </w:r>
    </w:p>
    <w:p w14:paraId="5768DE71" w14:textId="089CF657" w:rsidR="004C53A8" w:rsidRDefault="00870286">
      <w:pPr>
        <w:rPr>
          <w:rFonts w:ascii="Titillium" w:hAnsi="Titillium"/>
          <w:sz w:val="18"/>
          <w:szCs w:val="18"/>
        </w:rPr>
      </w:pPr>
      <w:r>
        <w:rPr>
          <w:rFonts w:ascii="Titillium" w:hAnsi="Titillium"/>
          <w:sz w:val="18"/>
          <w:szCs w:val="18"/>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6D2A84C4" w14:textId="77777777" w:rsidR="004C53A8" w:rsidRDefault="00870286">
      <w:pPr>
        <w:rPr>
          <w:rFonts w:ascii="Titillium" w:hAnsi="Titillium"/>
          <w:sz w:val="18"/>
          <w:szCs w:val="18"/>
        </w:rPr>
      </w:pPr>
      <w:r>
        <w:rPr>
          <w:rFonts w:ascii="Titillium" w:hAnsi="Titillium"/>
          <w:sz w:val="18"/>
          <w:szCs w:val="18"/>
        </w:rPr>
        <w:t xml:space="preserve">Il mancato adempimento agli obblighi previsti per la tracciabilità dei flussi finanziari relativi all’appalto comporta la risoluzione di diritto del contratto. </w:t>
      </w:r>
    </w:p>
    <w:p w14:paraId="13344CBD" w14:textId="77777777" w:rsidR="004C53A8" w:rsidRDefault="00870286">
      <w:pPr>
        <w:rPr>
          <w:rFonts w:ascii="Titillium" w:hAnsi="Titillium"/>
          <w:sz w:val="18"/>
          <w:szCs w:val="18"/>
        </w:rPr>
      </w:pPr>
      <w:r>
        <w:rPr>
          <w:rFonts w:ascii="Titillium" w:hAnsi="Titillium"/>
          <w:sz w:val="18"/>
          <w:szCs w:val="18"/>
        </w:rPr>
        <w:t>In occasione di ogni pagamento all’appaltatore o di interventi di controllo ulteriori si procede alla verifica dell’assolvimento degli obblighi relativi alla tracciabilità dei flussi finanziari.</w:t>
      </w:r>
    </w:p>
    <w:p w14:paraId="5870BA1D" w14:textId="77777777" w:rsidR="004C53A8" w:rsidRDefault="00870286">
      <w:pPr>
        <w:rPr>
          <w:rFonts w:ascii="Titillium" w:hAnsi="Titillium"/>
          <w:sz w:val="18"/>
          <w:szCs w:val="18"/>
        </w:rPr>
      </w:pPr>
      <w:r>
        <w:rPr>
          <w:rFonts w:ascii="Titillium" w:hAnsi="Titillium"/>
          <w:sz w:val="18"/>
          <w:szCs w:val="18"/>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7A0C100" w14:textId="77777777" w:rsidR="004C53A8" w:rsidRDefault="00870286" w:rsidP="00601972">
      <w:pPr>
        <w:pStyle w:val="Titolo2"/>
        <w:numPr>
          <w:ilvl w:val="0"/>
          <w:numId w:val="27"/>
        </w:numPr>
        <w:ind w:left="357" w:hanging="357"/>
      </w:pPr>
      <w:bookmarkStart w:id="3067" w:name="_Toc95495922"/>
      <w:r>
        <w:rPr>
          <w:rFonts w:ascii="Titillium" w:hAnsi="Titillium"/>
          <w:sz w:val="18"/>
          <w:szCs w:val="18"/>
          <w:lang w:val="it-IT"/>
        </w:rPr>
        <w:t>[</w:t>
      </w:r>
      <w:r>
        <w:rPr>
          <w:rFonts w:ascii="Titillium" w:hAnsi="Titillium"/>
          <w:caps w:val="0"/>
          <w:sz w:val="18"/>
          <w:szCs w:val="18"/>
          <w:lang w:val="it-IT"/>
        </w:rPr>
        <w:t>Facoltativo</w:t>
      </w:r>
      <w:r>
        <w:rPr>
          <w:rFonts w:ascii="Titillium" w:hAnsi="Titillium"/>
          <w:b w:val="0"/>
          <w:i/>
          <w:caps w:val="0"/>
          <w:sz w:val="18"/>
          <w:szCs w:val="18"/>
          <w:lang w:val="it-IT"/>
        </w:rPr>
        <w:t xml:space="preserve"> </w:t>
      </w:r>
      <w:r>
        <w:rPr>
          <w:rFonts w:ascii="Titillium" w:hAnsi="Titillium"/>
          <w:sz w:val="18"/>
          <w:szCs w:val="18"/>
        </w:rPr>
        <w:t>CLAUSOLA SOCIALE E ALTRE CONDIZIONI PARTICOLARI DI ESECUZIONE</w:t>
      </w:r>
      <w:r>
        <w:rPr>
          <w:rFonts w:ascii="Titillium" w:hAnsi="Titillium"/>
          <w:sz w:val="18"/>
          <w:szCs w:val="18"/>
          <w:lang w:val="it-IT"/>
        </w:rPr>
        <w:t>]</w:t>
      </w:r>
      <w:bookmarkEnd w:id="3067"/>
    </w:p>
    <w:p w14:paraId="283620EE" w14:textId="61AD2F9A" w:rsidR="002B01AA" w:rsidRDefault="00870286" w:rsidP="002B01AA">
      <w:pPr>
        <w:rPr>
          <w:rFonts w:ascii="Titillium" w:hAnsi="Titillium" w:cs="Arial"/>
          <w:b/>
          <w:bCs/>
          <w:i/>
          <w:color w:val="FF0000"/>
          <w:sz w:val="18"/>
          <w:szCs w:val="18"/>
        </w:rPr>
      </w:pPr>
      <w:bookmarkStart w:id="3068" w:name="_Toc483571518"/>
      <w:bookmarkStart w:id="3069" w:name="_Toc483474087"/>
      <w:bookmarkStart w:id="3070" w:name="_Toc483401291"/>
      <w:bookmarkStart w:id="3071" w:name="_Toc483325813"/>
      <w:bookmarkStart w:id="3072" w:name="_Toc483316520"/>
      <w:bookmarkStart w:id="3073" w:name="_Toc483316389"/>
      <w:bookmarkStart w:id="3074" w:name="_Toc483316257"/>
      <w:bookmarkStart w:id="3075" w:name="_Toc483316052"/>
      <w:bookmarkStart w:id="3076" w:name="_Toc483302431"/>
      <w:bookmarkStart w:id="3077" w:name="_Toc483233704"/>
      <w:bookmarkStart w:id="3078" w:name="_Toc482979744"/>
      <w:bookmarkStart w:id="3079" w:name="_Toc482979646"/>
      <w:bookmarkStart w:id="3080" w:name="_Toc482979548"/>
      <w:bookmarkStart w:id="3081" w:name="_Toc482979440"/>
      <w:bookmarkStart w:id="3082" w:name="_Toc482979331"/>
      <w:bookmarkStart w:id="3083" w:name="_Toc482979222"/>
      <w:bookmarkStart w:id="3084" w:name="_Toc482979111"/>
      <w:bookmarkStart w:id="3085" w:name="_Toc482979003"/>
      <w:bookmarkStart w:id="3086" w:name="_Toc482978894"/>
      <w:bookmarkStart w:id="3087" w:name="_Toc482959775"/>
      <w:bookmarkStart w:id="3088" w:name="_Toc482959665"/>
      <w:bookmarkStart w:id="3089" w:name="_Toc482959555"/>
      <w:bookmarkStart w:id="3090" w:name="_Toc482712767"/>
      <w:bookmarkStart w:id="3091" w:name="_Toc482641321"/>
      <w:bookmarkStart w:id="3092" w:name="_Toc483907018"/>
      <w:bookmarkStart w:id="3093" w:name="_Toc483571640"/>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r>
        <w:rPr>
          <w:rFonts w:ascii="Titillium" w:hAnsi="Titillium"/>
          <w:b/>
          <w:i/>
          <w:sz w:val="18"/>
          <w:szCs w:val="18"/>
        </w:rPr>
        <w:t>[La previsione di una clausola sociale deve intendersi obbligatoria con riferimento ai contratti ad alta intensità di manodopera. La medesima non è invece consentita per: appalti di fornitura, appalti di natura occasionale e appalti di servizi di natura intellettuale. In tutti gli altri casi, deve intendersi facoltativa ]</w:t>
      </w:r>
      <w:r>
        <w:rPr>
          <w:rFonts w:ascii="Titillium" w:hAnsi="Titillium"/>
          <w:sz w:val="18"/>
          <w:szCs w:val="18"/>
        </w:rPr>
        <w:t xml:space="preserve"> 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w:t>
      </w:r>
      <w:r w:rsidR="00557FFB">
        <w:rPr>
          <w:rFonts w:ascii="Titillium" w:hAnsi="Titillium"/>
          <w:sz w:val="18"/>
          <w:szCs w:val="18"/>
        </w:rPr>
        <w:t xml:space="preserve">, </w:t>
      </w:r>
      <w:r>
        <w:rPr>
          <w:rFonts w:ascii="Titillium" w:hAnsi="Titillium"/>
          <w:sz w:val="18"/>
          <w:szCs w:val="18"/>
        </w:rPr>
        <w:t xml:space="preserve">garantendo l’applicazione dei CCNL di settore, di cui all’articolo 51 del decreto legislativo 15 giugno 2015, n. 81. </w:t>
      </w:r>
    </w:p>
    <w:p w14:paraId="281FCB76" w14:textId="77777777" w:rsidR="00BE7B2D" w:rsidRDefault="00BE7B2D">
      <w:pPr>
        <w:rPr>
          <w:rFonts w:ascii="Titillium" w:hAnsi="Titillium"/>
          <w:sz w:val="18"/>
          <w:szCs w:val="18"/>
        </w:rPr>
      </w:pPr>
    </w:p>
    <w:p w14:paraId="7548FF3E" w14:textId="247B4556" w:rsidR="004C53A8" w:rsidRDefault="00870286">
      <w:r>
        <w:rPr>
          <w:rFonts w:ascii="Titillium" w:hAnsi="Titillium"/>
          <w:sz w:val="18"/>
          <w:szCs w:val="18"/>
        </w:rPr>
        <w:t>L’elenco e i dati relativi al personale attualmente impiegato dal contraente uscente per l’esecuzione del contratto è riportato nel ... [</w:t>
      </w:r>
      <w:r>
        <w:rPr>
          <w:rFonts w:ascii="Titillium" w:hAnsi="Titillium"/>
          <w:i/>
          <w:sz w:val="18"/>
          <w:szCs w:val="18"/>
        </w:rPr>
        <w:t xml:space="preserve">indicare il relativo paragrafo del Progetto che contiene il numero degli addetti con indicazione dei lavoratori svantaggiati </w:t>
      </w:r>
      <w:r w:rsidR="00405D59">
        <w:rPr>
          <w:rFonts w:ascii="Titillium" w:hAnsi="Titillium"/>
          <w:i/>
          <w:sz w:val="18"/>
          <w:szCs w:val="18"/>
        </w:rPr>
        <w:t>ai sensi della</w:t>
      </w:r>
      <w:r>
        <w:rPr>
          <w:rFonts w:ascii="Titillium" w:hAnsi="Titillium"/>
          <w:i/>
          <w:sz w:val="18"/>
          <w:szCs w:val="18"/>
        </w:rPr>
        <w:t xml:space="preserve"> legge n. 381/91, qualifica, livelli anzianità, sede di lavoro, monte ore, etc.].</w:t>
      </w:r>
    </w:p>
    <w:p w14:paraId="0C74D84D" w14:textId="77777777" w:rsidR="004C53A8" w:rsidRDefault="00870286">
      <w:pPr>
        <w:spacing w:before="60" w:after="60"/>
      </w:pPr>
      <w:r>
        <w:rPr>
          <w:rFonts w:ascii="Titillium" w:hAnsi="Titillium"/>
          <w:b/>
          <w:i/>
          <w:sz w:val="18"/>
          <w:szCs w:val="18"/>
        </w:rPr>
        <w:t>[Facoltativo]</w:t>
      </w:r>
      <w:r>
        <w:rPr>
          <w:rFonts w:ascii="Titillium" w:hAnsi="Titillium"/>
          <w:sz w:val="18"/>
          <w:szCs w:val="18"/>
        </w:rPr>
        <w:t xml:space="preserve"> Considerato che sono cambiate le condizioni di esecuzione dell’appalto rispetto all’appalto stipulato con l’operatore uscente, il personale da riassorbire è definito in esito ad una verifica congiunta con appaltatore e sindacati.</w:t>
      </w:r>
    </w:p>
    <w:p w14:paraId="55820022" w14:textId="54B469FF" w:rsidR="004C53A8" w:rsidRDefault="00870286">
      <w:pPr>
        <w:spacing w:before="60" w:after="60"/>
        <w:rPr>
          <w:rFonts w:ascii="Titillium" w:hAnsi="Titillium" w:cs="Calibri"/>
          <w:sz w:val="18"/>
          <w:szCs w:val="18"/>
        </w:rPr>
      </w:pPr>
      <w:r>
        <w:rPr>
          <w:rFonts w:ascii="Titillium" w:hAnsi="Titillium" w:cs="Calibri"/>
          <w:b/>
          <w:i/>
          <w:sz w:val="18"/>
          <w:szCs w:val="18"/>
        </w:rPr>
        <w:t>[Facoltativo: qualora per l’espletamento del servizio o della fornitura siano richieste particolari condizioni]</w:t>
      </w:r>
      <w:r w:rsidR="00F00628">
        <w:rPr>
          <w:rFonts w:ascii="Titillium" w:hAnsi="Titillium" w:cs="Calibri"/>
          <w:sz w:val="18"/>
          <w:szCs w:val="18"/>
        </w:rPr>
        <w:t xml:space="preserve"> </w:t>
      </w:r>
      <w:r>
        <w:rPr>
          <w:rFonts w:ascii="Titillium" w:hAnsi="Titillium" w:cs="Calibri"/>
          <w:sz w:val="18"/>
          <w:szCs w:val="18"/>
        </w:rPr>
        <w:t>Per l’esecuzione del servizio/fornitura oggetto del presente appal</w:t>
      </w:r>
      <w:r w:rsidR="00F00628">
        <w:rPr>
          <w:rFonts w:ascii="Titillium" w:hAnsi="Titillium" w:cs="Calibri"/>
          <w:sz w:val="18"/>
          <w:szCs w:val="18"/>
        </w:rPr>
        <w:t xml:space="preserve">to è richiesto … </w:t>
      </w:r>
      <w:r>
        <w:rPr>
          <w:rFonts w:ascii="Titillium" w:hAnsi="Titillium" w:cs="Calibri"/>
          <w:sz w:val="18"/>
          <w:szCs w:val="18"/>
        </w:rPr>
        <w:t>[</w:t>
      </w:r>
      <w:r w:rsidRPr="00F00628">
        <w:rPr>
          <w:rFonts w:ascii="Titillium" w:hAnsi="Titillium" w:cs="Calibri"/>
          <w:i/>
          <w:sz w:val="18"/>
          <w:szCs w:val="18"/>
        </w:rPr>
        <w:t>specificare la condizione particolare di esecuzione richiesta</w:t>
      </w:r>
      <w:r w:rsidRPr="00F00628">
        <w:rPr>
          <w:rFonts w:ascii="Titillium" w:hAnsi="Titillium" w:cs="Calibri"/>
          <w:sz w:val="18"/>
          <w:szCs w:val="18"/>
        </w:rPr>
        <w:t>], la cui accettazione è dichiarata dall’aggiudicatario in sede di offerta.</w:t>
      </w:r>
    </w:p>
    <w:p w14:paraId="3F3628F1" w14:textId="02231C84" w:rsidR="001E5A75" w:rsidRDefault="001E5A75" w:rsidP="001E5A75">
      <w:pPr>
        <w:rPr>
          <w:rFonts w:ascii="Titillium" w:hAnsi="Titillium" w:cs="Arial"/>
          <w:color w:val="FF0000"/>
          <w:sz w:val="18"/>
          <w:szCs w:val="18"/>
        </w:rPr>
      </w:pPr>
      <w:r>
        <w:rPr>
          <w:rFonts w:ascii="Titillium" w:hAnsi="Titillium" w:cs="Calibri"/>
          <w:i/>
          <w:color w:val="FF0000"/>
          <w:sz w:val="18"/>
          <w:szCs w:val="18"/>
        </w:rPr>
        <w:t>[</w:t>
      </w:r>
      <w:r w:rsidRPr="00D7337B">
        <w:rPr>
          <w:rFonts w:ascii="Titillium" w:hAnsi="Titillium" w:cs="Calibri"/>
          <w:b/>
          <w:i/>
          <w:color w:val="FF0000"/>
          <w:sz w:val="18"/>
          <w:szCs w:val="18"/>
        </w:rPr>
        <w:t>Eventual</w:t>
      </w:r>
      <w:r>
        <w:rPr>
          <w:rFonts w:ascii="Titillium" w:hAnsi="Titillium" w:cs="Calibri"/>
          <w:b/>
          <w:i/>
          <w:color w:val="FF0000"/>
          <w:sz w:val="18"/>
          <w:szCs w:val="18"/>
        </w:rPr>
        <w:t>e e facoltativo -</w:t>
      </w:r>
      <w:r>
        <w:rPr>
          <w:rFonts w:ascii="Titillium" w:hAnsi="Titillium" w:cs="Calibri"/>
          <w:i/>
          <w:color w:val="FF0000"/>
          <w:sz w:val="18"/>
          <w:szCs w:val="18"/>
        </w:rPr>
        <w:t xml:space="preserve"> </w:t>
      </w:r>
      <w:r>
        <w:rPr>
          <w:rFonts w:ascii="Titillium" w:hAnsi="Titillium" w:cs="Arial"/>
          <w:b/>
          <w:bCs/>
          <w:i/>
          <w:color w:val="FF0000"/>
          <w:sz w:val="18"/>
          <w:szCs w:val="18"/>
        </w:rPr>
        <w:t xml:space="preserve">per le procedure di gara </w:t>
      </w:r>
      <w:r w:rsidRPr="00700E8A">
        <w:rPr>
          <w:rFonts w:ascii="Titillium" w:hAnsi="Titillium" w:cs="Arial"/>
          <w:b/>
          <w:bCs/>
          <w:i/>
          <w:color w:val="FF0000"/>
          <w:sz w:val="18"/>
          <w:szCs w:val="18"/>
        </w:rPr>
        <w:t>afferenti gli investimenti pubblici finanziati, in tutto o in parte, con le risorse del Piano naz</w:t>
      </w:r>
      <w:r>
        <w:rPr>
          <w:rFonts w:ascii="Titillium" w:hAnsi="Titillium" w:cs="Arial"/>
          <w:b/>
          <w:bCs/>
          <w:i/>
          <w:color w:val="FF0000"/>
          <w:sz w:val="18"/>
          <w:szCs w:val="18"/>
        </w:rPr>
        <w:t>ionale di ripresa e resilienza,</w:t>
      </w:r>
      <w:r w:rsidRPr="00700E8A">
        <w:rPr>
          <w:rFonts w:ascii="Titillium" w:hAnsi="Titillium" w:cs="Arial"/>
          <w:b/>
          <w:bCs/>
          <w:i/>
          <w:color w:val="FF0000"/>
          <w:sz w:val="18"/>
          <w:szCs w:val="18"/>
        </w:rPr>
        <w:t xml:space="preserve"> di cui al Regolamento (UE) 2021/240 del Parlamento europeo e del Consiglio del 10 febbraio 2021 e dal Regolamento (UE) 2021/241 del Parlamento europeo e del Consiglio del 12 febbraio 2021</w:t>
      </w:r>
      <w:r>
        <w:rPr>
          <w:rFonts w:ascii="Titillium" w:hAnsi="Titillium" w:cs="Arial"/>
          <w:b/>
          <w:bCs/>
          <w:i/>
          <w:color w:val="FF0000"/>
          <w:sz w:val="18"/>
          <w:szCs w:val="18"/>
        </w:rPr>
        <w:t xml:space="preserve"> (PNRR)</w:t>
      </w:r>
      <w:r w:rsidRPr="00700E8A">
        <w:rPr>
          <w:rFonts w:ascii="Titillium" w:hAnsi="Titillium" w:cs="Arial"/>
          <w:b/>
          <w:bCs/>
          <w:i/>
          <w:color w:val="FF0000"/>
          <w:sz w:val="18"/>
          <w:szCs w:val="18"/>
        </w:rPr>
        <w:t>, nonché dal Piano nazionale per gli investi</w:t>
      </w:r>
      <w:r>
        <w:rPr>
          <w:rFonts w:ascii="Titillium" w:hAnsi="Titillium" w:cs="Arial"/>
          <w:b/>
          <w:bCs/>
          <w:i/>
          <w:color w:val="FF0000"/>
          <w:sz w:val="18"/>
          <w:szCs w:val="18"/>
        </w:rPr>
        <w:t>menti complementari al PNRR</w:t>
      </w:r>
      <w:r w:rsidRPr="00700E8A">
        <w:rPr>
          <w:rFonts w:ascii="Titillium" w:hAnsi="Titillium" w:cs="Arial"/>
          <w:b/>
          <w:bCs/>
          <w:i/>
          <w:color w:val="FF0000"/>
          <w:sz w:val="18"/>
          <w:szCs w:val="18"/>
        </w:rPr>
        <w:t>, di cui all'articolo 1 del decreto-legge 6 maggio 2021, n. 59</w:t>
      </w:r>
      <w:r>
        <w:rPr>
          <w:rFonts w:ascii="Titillium" w:hAnsi="Titillium" w:cs="Arial"/>
          <w:b/>
          <w:bCs/>
          <w:i/>
          <w:color w:val="FF0000"/>
          <w:sz w:val="18"/>
          <w:szCs w:val="18"/>
        </w:rPr>
        <w:t xml:space="preserve"> (PNC), avviate dopo </w:t>
      </w:r>
      <w:r w:rsidRPr="00700E8A">
        <w:rPr>
          <w:rFonts w:ascii="Titillium" w:hAnsi="Titillium" w:cs="Arial"/>
          <w:b/>
          <w:bCs/>
          <w:i/>
          <w:color w:val="FF0000"/>
          <w:sz w:val="18"/>
          <w:szCs w:val="18"/>
        </w:rPr>
        <w:t>l’ent</w:t>
      </w:r>
      <w:r>
        <w:rPr>
          <w:rFonts w:ascii="Titillium" w:hAnsi="Titillium" w:cs="Arial"/>
          <w:b/>
          <w:bCs/>
          <w:i/>
          <w:color w:val="FF0000"/>
          <w:sz w:val="18"/>
          <w:szCs w:val="18"/>
        </w:rPr>
        <w:t xml:space="preserve">rata in vigore </w:t>
      </w:r>
      <w:r w:rsidRPr="00911118">
        <w:rPr>
          <w:rFonts w:ascii="Titillium" w:hAnsi="Titillium" w:cs="Arial"/>
          <w:b/>
          <w:bCs/>
          <w:i/>
          <w:color w:val="FF0000"/>
          <w:sz w:val="18"/>
          <w:szCs w:val="18"/>
        </w:rPr>
        <w:t xml:space="preserve">del </w:t>
      </w:r>
      <w:r w:rsidRPr="00911118">
        <w:rPr>
          <w:rFonts w:ascii="Titillium" w:hAnsi="Titillium" w:cs="Courier New"/>
          <w:b/>
          <w:i/>
          <w:color w:val="FF0000"/>
          <w:sz w:val="18"/>
          <w:szCs w:val="18"/>
        </w:rPr>
        <w:t>decreto legge 31 maggio 2021, n. 77, convertito, con modificazioni, dalla legge 29 luglio 2021, n. 108</w:t>
      </w:r>
      <w:r w:rsidR="00BE7B2D">
        <w:rPr>
          <w:rFonts w:ascii="Titillium" w:hAnsi="Titillium" w:cs="Courier New"/>
          <w:b/>
          <w:i/>
          <w:color w:val="FF0000"/>
          <w:sz w:val="18"/>
          <w:szCs w:val="18"/>
        </w:rPr>
        <w:t>, indicare le seguenti condizioni di esecuzione</w:t>
      </w:r>
      <w:r>
        <w:rPr>
          <w:rFonts w:ascii="Titillium" w:hAnsi="Titillium" w:cs="Arial"/>
          <w:color w:val="FF0000"/>
          <w:sz w:val="18"/>
          <w:szCs w:val="18"/>
        </w:rPr>
        <w:t xml:space="preserve">] </w:t>
      </w:r>
    </w:p>
    <w:p w14:paraId="255D10C5" w14:textId="61346CAF" w:rsidR="00080520" w:rsidRPr="00E52AAF" w:rsidRDefault="00421466" w:rsidP="00E52A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color w:val="FF0000"/>
          <w:sz w:val="18"/>
          <w:szCs w:val="18"/>
        </w:rPr>
      </w:pPr>
      <w:r w:rsidRPr="00E52AAF">
        <w:rPr>
          <w:rFonts w:ascii="Titillium" w:hAnsi="Titillium" w:cs="Courier New"/>
          <w:color w:val="FF0000"/>
          <w:sz w:val="18"/>
          <w:szCs w:val="18"/>
        </w:rPr>
        <w:t>G</w:t>
      </w:r>
      <w:r w:rsidR="001E5A75" w:rsidRPr="00E52AAF">
        <w:rPr>
          <w:rFonts w:ascii="Titillium" w:hAnsi="Titillium" w:cs="Courier New"/>
          <w:color w:val="FF0000"/>
          <w:sz w:val="18"/>
          <w:szCs w:val="18"/>
        </w:rPr>
        <w:t xml:space="preserve">li operatori economici che occupano un numero pari o superiore a quindici dipendenti e non superiore a cinquanta, non tenuti alla redazione del rapporto sulla situazione del personale, ai sensi dell'articolo 46 del decreto legislativo 11 aprile 2006, n. 198, sono tenuti, entro sei mesi dalla conclusione del contratto, </w:t>
      </w:r>
      <w:r w:rsidR="006574B4">
        <w:rPr>
          <w:rFonts w:ascii="Titillium" w:hAnsi="Titillium" w:cs="Courier New"/>
          <w:color w:val="FF0000"/>
          <w:sz w:val="18"/>
          <w:szCs w:val="18"/>
        </w:rPr>
        <w:t xml:space="preserve">a </w:t>
      </w:r>
      <w:r w:rsidRPr="00E52AAF">
        <w:rPr>
          <w:rFonts w:ascii="Titillium" w:hAnsi="Titillium" w:cs="Courier New"/>
          <w:color w:val="FF0000"/>
          <w:sz w:val="18"/>
          <w:szCs w:val="18"/>
        </w:rPr>
        <w:t>consegna</w:t>
      </w:r>
      <w:r w:rsidR="006574B4">
        <w:rPr>
          <w:rFonts w:ascii="Titillium" w:hAnsi="Titillium" w:cs="Courier New"/>
          <w:color w:val="FF0000"/>
          <w:sz w:val="18"/>
          <w:szCs w:val="18"/>
        </w:rPr>
        <w:t>re</w:t>
      </w:r>
      <w:r w:rsidRPr="00E52AAF">
        <w:rPr>
          <w:rFonts w:ascii="Titillium" w:hAnsi="Titillium" w:cs="Courier New"/>
          <w:color w:val="FF0000"/>
          <w:sz w:val="18"/>
          <w:szCs w:val="18"/>
        </w:rPr>
        <w:t xml:space="preserve"> </w:t>
      </w:r>
      <w:r w:rsidR="001E5A75" w:rsidRPr="00E52AAF">
        <w:rPr>
          <w:rFonts w:ascii="Titillium" w:hAnsi="Titillium" w:cs="Courier New"/>
          <w:color w:val="FF0000"/>
          <w:sz w:val="18"/>
          <w:szCs w:val="18"/>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r w:rsidR="001E5A75" w:rsidRPr="00E52AAF">
        <w:rPr>
          <w:rFonts w:ascii="Titillium" w:hAnsi="Titillium" w:cs="Calibri"/>
          <w:color w:val="FF0000"/>
          <w:sz w:val="18"/>
          <w:szCs w:val="18"/>
        </w:rPr>
        <w:t>.</w:t>
      </w:r>
    </w:p>
    <w:p w14:paraId="64C34B9F" w14:textId="087515C4" w:rsidR="001E5A75" w:rsidRPr="00E52AAF" w:rsidRDefault="00353B95" w:rsidP="00E52A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tillium" w:hAnsi="Titillium" w:cs="Calibri"/>
          <w:color w:val="FF0000"/>
          <w:sz w:val="18"/>
          <w:szCs w:val="18"/>
        </w:rPr>
      </w:pPr>
      <w:r>
        <w:rPr>
          <w:rFonts w:ascii="Titillium" w:hAnsi="Titillium" w:cs="Courier New"/>
          <w:color w:val="FF0000"/>
          <w:sz w:val="18"/>
          <w:szCs w:val="18"/>
        </w:rPr>
        <w:t>G</w:t>
      </w:r>
      <w:r w:rsidR="00080520" w:rsidRPr="00E52AAF">
        <w:rPr>
          <w:rFonts w:ascii="Titillium" w:hAnsi="Titillium" w:cs="Courier New"/>
          <w:color w:val="FF0000"/>
          <w:sz w:val="18"/>
          <w:szCs w:val="18"/>
        </w:rPr>
        <w:t>li operatori economici che occupano un numero pari o superiore a quindici dipendenti sono tenuti, entro sei mesi dalla conclusione del contratto, a consegnare alla stazione appaltante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w:t>
      </w:r>
      <w:r w:rsidR="00976053" w:rsidRPr="00E52AAF">
        <w:rPr>
          <w:rFonts w:ascii="Titillium" w:hAnsi="Titillium" w:cs="Courier New"/>
          <w:color w:val="FF0000"/>
          <w:sz w:val="18"/>
          <w:szCs w:val="18"/>
        </w:rPr>
        <w:t>presentanze sindacali aziendali</w:t>
      </w:r>
      <w:r w:rsidR="00080520" w:rsidRPr="00E52AAF">
        <w:rPr>
          <w:rFonts w:ascii="Titillium" w:hAnsi="Titillium" w:cs="Courier New"/>
          <w:color w:val="FF0000"/>
          <w:sz w:val="18"/>
          <w:szCs w:val="18"/>
        </w:rPr>
        <w:t>.</w:t>
      </w:r>
    </w:p>
    <w:p w14:paraId="774BEE37" w14:textId="6521AE82" w:rsidR="004C53A8" w:rsidRDefault="004C667D" w:rsidP="00601972">
      <w:pPr>
        <w:pStyle w:val="Titolo2"/>
        <w:numPr>
          <w:ilvl w:val="0"/>
          <w:numId w:val="27"/>
        </w:numPr>
        <w:ind w:left="357" w:hanging="357"/>
      </w:pPr>
      <w:bookmarkStart w:id="3094" w:name="_Toc95495923"/>
      <w:r>
        <w:rPr>
          <w:rFonts w:ascii="Titillium" w:hAnsi="Titillium"/>
          <w:caps w:val="0"/>
          <w:sz w:val="18"/>
          <w:szCs w:val="18"/>
        </w:rPr>
        <w:t xml:space="preserve">CODICE </w:t>
      </w:r>
      <w:r w:rsidR="008B7EE1">
        <w:rPr>
          <w:rFonts w:ascii="Titillium" w:hAnsi="Titillium"/>
          <w:caps w:val="0"/>
          <w:sz w:val="18"/>
          <w:szCs w:val="18"/>
          <w:lang w:val="it-IT"/>
        </w:rPr>
        <w:t>DI COMPORTAMENTO</w:t>
      </w:r>
      <w:bookmarkEnd w:id="3094"/>
      <w:r w:rsidR="008B7EE1">
        <w:rPr>
          <w:rFonts w:ascii="Titillium" w:hAnsi="Titillium"/>
          <w:caps w:val="0"/>
          <w:sz w:val="18"/>
          <w:szCs w:val="18"/>
          <w:lang w:val="it-IT"/>
        </w:rPr>
        <w:t xml:space="preserve"> </w:t>
      </w:r>
      <w:r>
        <w:rPr>
          <w:rFonts w:ascii="Titillium" w:hAnsi="Titillium"/>
          <w:caps w:val="0"/>
          <w:sz w:val="18"/>
          <w:szCs w:val="18"/>
        </w:rPr>
        <w:t xml:space="preserve"> </w:t>
      </w:r>
    </w:p>
    <w:p w14:paraId="36FEBA54" w14:textId="148FBB5A" w:rsidR="004C53A8" w:rsidRPr="00331144" w:rsidRDefault="00870286">
      <w:pPr>
        <w:widowControl w:val="0"/>
        <w:spacing w:line="280" w:lineRule="exact"/>
      </w:pPr>
      <w:r>
        <w:rPr>
          <w:rFonts w:ascii="Titillium" w:hAnsi="Titillium"/>
          <w:sz w:val="18"/>
          <w:szCs w:val="18"/>
          <w:lang w:eastAsia="it-IT"/>
        </w:rPr>
        <w:t xml:space="preserve">Nello svolgimento delle attività oggetto del contratto di appalto, l’aggiudicatario </w:t>
      </w:r>
      <w:r w:rsidRPr="00331144">
        <w:rPr>
          <w:rFonts w:ascii="Titillium" w:hAnsi="Titillium"/>
          <w:i/>
          <w:sz w:val="18"/>
          <w:szCs w:val="18"/>
          <w:lang w:eastAsia="it-IT"/>
        </w:rPr>
        <w:t>[nel caso di più lotti: di ciascun lotto]</w:t>
      </w:r>
      <w:r>
        <w:rPr>
          <w:rFonts w:ascii="Titillium" w:hAnsi="Titillium"/>
          <w:sz w:val="18"/>
          <w:szCs w:val="18"/>
          <w:lang w:eastAsia="it-IT"/>
        </w:rPr>
        <w:t xml:space="preserve"> deve uniformarsi ai principi e</w:t>
      </w:r>
      <w:r w:rsidR="008D6E8D">
        <w:rPr>
          <w:rFonts w:ascii="Titillium" w:hAnsi="Titillium"/>
          <w:sz w:val="18"/>
          <w:szCs w:val="18"/>
          <w:lang w:eastAsia="it-IT"/>
        </w:rPr>
        <w:t xml:space="preserve">, per quanto compatibili, </w:t>
      </w:r>
      <w:r>
        <w:rPr>
          <w:rFonts w:ascii="Titillium" w:hAnsi="Titillium"/>
          <w:sz w:val="18"/>
          <w:szCs w:val="18"/>
          <w:lang w:eastAsia="it-IT"/>
        </w:rPr>
        <w:t xml:space="preserve"> ai doveri </w:t>
      </w:r>
      <w:r w:rsidR="008D6E8D">
        <w:rPr>
          <w:rFonts w:ascii="Titillium" w:hAnsi="Titillium"/>
          <w:sz w:val="18"/>
          <w:szCs w:val="18"/>
          <w:lang w:eastAsia="it-IT"/>
        </w:rPr>
        <w:t xml:space="preserve">di condotta </w:t>
      </w:r>
      <w:r>
        <w:rPr>
          <w:rFonts w:ascii="Titillium" w:hAnsi="Titillium"/>
          <w:sz w:val="18"/>
          <w:szCs w:val="18"/>
          <w:lang w:eastAsia="it-IT"/>
        </w:rPr>
        <w:t xml:space="preserve">richiamati nel </w:t>
      </w:r>
      <w:r w:rsidR="008D6E8D">
        <w:rPr>
          <w:rFonts w:ascii="Titillium" w:hAnsi="Titillium"/>
          <w:sz w:val="18"/>
          <w:szCs w:val="18"/>
          <w:lang w:eastAsia="it-IT"/>
        </w:rPr>
        <w:t xml:space="preserve">Decreto del Presidente della Repubblica 16 aprile 2013 n. 62 </w:t>
      </w:r>
      <w:r>
        <w:rPr>
          <w:rFonts w:ascii="Titillium" w:hAnsi="Titillium"/>
          <w:sz w:val="18"/>
          <w:szCs w:val="18"/>
          <w:lang w:eastAsia="it-IT"/>
        </w:rPr>
        <w:t xml:space="preserve"> e </w:t>
      </w:r>
      <w:r w:rsidR="008D6E8D">
        <w:rPr>
          <w:rFonts w:ascii="Titillium" w:hAnsi="Titillium"/>
          <w:sz w:val="18"/>
          <w:szCs w:val="18"/>
          <w:lang w:eastAsia="it-IT"/>
        </w:rPr>
        <w:t xml:space="preserve">nel codice di comportamento di questa stazione appaltante e </w:t>
      </w:r>
      <w:r w:rsidR="001F6690" w:rsidRPr="001F6690">
        <w:rPr>
          <w:rFonts w:ascii="Titillium" w:hAnsi="Titillium"/>
          <w:i/>
          <w:sz w:val="18"/>
          <w:szCs w:val="18"/>
          <w:lang w:eastAsia="it-IT"/>
        </w:rPr>
        <w:t>[</w:t>
      </w:r>
      <w:r w:rsidRPr="001F6690">
        <w:rPr>
          <w:rFonts w:ascii="Titillium" w:hAnsi="Titillium"/>
          <w:i/>
          <w:sz w:val="18"/>
          <w:szCs w:val="18"/>
          <w:lang w:eastAsia="it-IT"/>
        </w:rPr>
        <w:t>per le pubbliche amministrazioni</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n</w:t>
      </w:r>
      <w:r w:rsidRPr="00331144">
        <w:rPr>
          <w:rFonts w:ascii="Titillium" w:hAnsi="Titillium"/>
          <w:iCs/>
          <w:sz w:val="18"/>
          <w:szCs w:val="18"/>
          <w:lang w:eastAsia="it-IT"/>
        </w:rPr>
        <w:t>el Piano Triennale di Prevenzione della Corruzione e della Trasparenza</w:t>
      </w:r>
      <w:r w:rsidR="00D71A47" w:rsidRPr="001F6690">
        <w:rPr>
          <w:rFonts w:ascii="Titillium" w:hAnsi="Titillium"/>
          <w:i/>
          <w:iCs/>
          <w:sz w:val="18"/>
          <w:szCs w:val="18"/>
          <w:lang w:eastAsia="it-IT"/>
        </w:rPr>
        <w:t xml:space="preserve"> </w:t>
      </w:r>
      <w:r w:rsidRPr="001F6690">
        <w:rPr>
          <w:rFonts w:ascii="Titillium" w:hAnsi="Titillium"/>
          <w:i/>
          <w:iCs/>
          <w:sz w:val="18"/>
          <w:szCs w:val="18"/>
          <w:lang w:eastAsia="it-IT"/>
        </w:rPr>
        <w:t xml:space="preserve"> </w:t>
      </w:r>
      <w:r w:rsidR="001F6690" w:rsidRPr="001F6690">
        <w:rPr>
          <w:rFonts w:ascii="Titillium" w:hAnsi="Titillium"/>
          <w:i/>
          <w:iCs/>
          <w:sz w:val="18"/>
          <w:szCs w:val="18"/>
          <w:lang w:eastAsia="it-IT"/>
        </w:rPr>
        <w:t>[</w:t>
      </w:r>
      <w:r w:rsidRPr="001F6690">
        <w:rPr>
          <w:rFonts w:ascii="Titillium" w:hAnsi="Titillium"/>
          <w:i/>
          <w:iCs/>
          <w:sz w:val="18"/>
          <w:szCs w:val="18"/>
          <w:lang w:eastAsia="it-IT"/>
        </w:rPr>
        <w:t xml:space="preserve">negli altri casi </w:t>
      </w:r>
      <w:r w:rsidRPr="001F6690">
        <w:rPr>
          <w:rFonts w:ascii="Titillium" w:hAnsi="Titillium"/>
          <w:i/>
          <w:sz w:val="18"/>
          <w:szCs w:val="18"/>
          <w:lang w:eastAsia="it-IT"/>
        </w:rPr>
        <w:t>nel Modello di organizzazione, gestione e controllo adottato dalla medesima ai sensi del decreto legislativo n. 231/01</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w:t>
      </w:r>
    </w:p>
    <w:p w14:paraId="653EF637" w14:textId="77777777" w:rsidR="004C53A8" w:rsidRDefault="00870286">
      <w:pPr>
        <w:widowControl w:val="0"/>
        <w:spacing w:line="280" w:lineRule="exact"/>
      </w:pPr>
      <w:r>
        <w:rPr>
          <w:rFonts w:ascii="Titillium" w:hAnsi="Titillium"/>
          <w:sz w:val="18"/>
          <w:szCs w:val="18"/>
          <w:lang w:eastAsia="it-IT"/>
        </w:rPr>
        <w:t xml:space="preserve">In seguito alla comunicazione di aggiudicazione e prima della stipula del contratto, l’aggiudicatario </w:t>
      </w:r>
      <w:r>
        <w:rPr>
          <w:rFonts w:ascii="Titillium" w:hAnsi="Titillium"/>
          <w:i/>
          <w:sz w:val="18"/>
          <w:szCs w:val="18"/>
          <w:lang w:eastAsia="it-IT"/>
        </w:rPr>
        <w:t>[nel caso di più lotti: di ciascun lotto]</w:t>
      </w:r>
      <w:r>
        <w:rPr>
          <w:rFonts w:ascii="Titillium" w:hAnsi="Titillium"/>
          <w:sz w:val="18"/>
          <w:szCs w:val="18"/>
          <w:lang w:eastAsia="it-IT"/>
        </w:rPr>
        <w:t xml:space="preserve"> ha l’onere di prendere visione dei predetti documenti pubblicati sul sito della stazione </w:t>
      </w:r>
      <w:r>
        <w:rPr>
          <w:rFonts w:ascii="Titillium" w:hAnsi="Titillium"/>
          <w:i/>
          <w:sz w:val="18"/>
          <w:szCs w:val="18"/>
          <w:lang w:eastAsia="it-IT"/>
        </w:rPr>
        <w:t>appaltante [</w:t>
      </w:r>
      <w:r>
        <w:rPr>
          <w:rFonts w:ascii="Titillium" w:hAnsi="Titillium"/>
          <w:i/>
          <w:iCs/>
          <w:sz w:val="18"/>
          <w:szCs w:val="18"/>
          <w:lang w:eastAsia="it-IT"/>
        </w:rPr>
        <w:t>indicare il link dove è possibile leggere i predetti documenti</w:t>
      </w:r>
      <w:r>
        <w:rPr>
          <w:rFonts w:ascii="Titillium" w:hAnsi="Titillium"/>
          <w:i/>
          <w:sz w:val="18"/>
          <w:szCs w:val="18"/>
          <w:lang w:eastAsia="it-IT"/>
        </w:rPr>
        <w:t>]</w:t>
      </w:r>
      <w:r>
        <w:rPr>
          <w:rFonts w:ascii="Titillium" w:hAnsi="Titillium"/>
          <w:sz w:val="18"/>
          <w:szCs w:val="18"/>
          <w:lang w:eastAsia="it-IT"/>
        </w:rPr>
        <w:t>.</w:t>
      </w:r>
    </w:p>
    <w:p w14:paraId="3B7883AF" w14:textId="77777777" w:rsidR="004C53A8" w:rsidRDefault="00870286" w:rsidP="00601972">
      <w:pPr>
        <w:pStyle w:val="Titolo2"/>
        <w:numPr>
          <w:ilvl w:val="0"/>
          <w:numId w:val="27"/>
        </w:numPr>
        <w:ind w:left="357" w:hanging="357"/>
        <w:rPr>
          <w:rFonts w:ascii="Titillium" w:hAnsi="Titillium"/>
          <w:sz w:val="18"/>
          <w:szCs w:val="18"/>
          <w:lang w:val="it-IT"/>
        </w:rPr>
      </w:pPr>
      <w:bookmarkStart w:id="3095" w:name="_Toc95495924"/>
      <w:r>
        <w:rPr>
          <w:rFonts w:ascii="Titillium" w:hAnsi="Titillium"/>
          <w:sz w:val="18"/>
          <w:szCs w:val="18"/>
          <w:lang w:val="it-IT"/>
        </w:rPr>
        <w:t>ACCESSO AGLI ATTI</w:t>
      </w:r>
      <w:bookmarkEnd w:id="3095"/>
    </w:p>
    <w:p w14:paraId="1960930A" w14:textId="7EF2BD44" w:rsidR="004C53A8" w:rsidRDefault="00870286">
      <w:pPr>
        <w:widowControl w:val="0"/>
        <w:spacing w:line="280" w:lineRule="exact"/>
      </w:pPr>
      <w:r>
        <w:rPr>
          <w:rFonts w:ascii="Titillium" w:hAnsi="Titillium"/>
          <w:sz w:val="18"/>
          <w:szCs w:val="18"/>
        </w:rPr>
        <w:t>L’accesso agli atti della procedura è consentito nel rispetto di quanto previsto dall’articolo 53 del Codice e dalle vigenti disposizioni in materia di diritto di accesso ai documenti amministrativi secondo le seguenti modalità</w:t>
      </w:r>
      <w:r w:rsidR="00F00628">
        <w:rPr>
          <w:rFonts w:ascii="Titillium" w:hAnsi="Titillium"/>
          <w:sz w:val="18"/>
          <w:szCs w:val="18"/>
        </w:rPr>
        <w:t xml:space="preserve"> …</w:t>
      </w:r>
      <w:r>
        <w:rPr>
          <w:rFonts w:ascii="Titillium" w:hAnsi="Titillium"/>
          <w:sz w:val="18"/>
          <w:szCs w:val="18"/>
        </w:rPr>
        <w:t xml:space="preserve"> [</w:t>
      </w:r>
      <w:r>
        <w:rPr>
          <w:rFonts w:ascii="Titillium" w:hAnsi="Titillium"/>
          <w:i/>
          <w:iCs/>
          <w:sz w:val="18"/>
          <w:szCs w:val="18"/>
        </w:rPr>
        <w:t>indicare</w:t>
      </w:r>
      <w:r>
        <w:rPr>
          <w:rFonts w:ascii="Titillium" w:hAnsi="Titillium"/>
          <w:sz w:val="18"/>
          <w:szCs w:val="18"/>
        </w:rPr>
        <w:t>].</w:t>
      </w:r>
    </w:p>
    <w:p w14:paraId="28F59E88" w14:textId="77777777" w:rsidR="004C53A8" w:rsidRDefault="00870286" w:rsidP="00601972">
      <w:pPr>
        <w:pStyle w:val="Titolo2"/>
        <w:numPr>
          <w:ilvl w:val="0"/>
          <w:numId w:val="27"/>
        </w:numPr>
        <w:ind w:left="357" w:hanging="357"/>
      </w:pPr>
      <w:bookmarkStart w:id="3096" w:name="_Toc406058393"/>
      <w:bookmarkStart w:id="3097" w:name="_Toc403471285"/>
      <w:bookmarkStart w:id="3098" w:name="_Toc397422878"/>
      <w:bookmarkStart w:id="3099" w:name="_Toc397346837"/>
      <w:bookmarkStart w:id="3100" w:name="_Toc393706922"/>
      <w:bookmarkStart w:id="3101" w:name="_Toc393700849"/>
      <w:bookmarkStart w:id="3102" w:name="_Toc393283190"/>
      <w:bookmarkStart w:id="3103" w:name="_Toc393272674"/>
      <w:bookmarkStart w:id="3104" w:name="_Toc393272616"/>
      <w:bookmarkStart w:id="3105" w:name="_Toc393187860"/>
      <w:bookmarkStart w:id="3106" w:name="_Toc393112143"/>
      <w:bookmarkStart w:id="3107" w:name="_Toc393110579"/>
      <w:bookmarkStart w:id="3108" w:name="_Toc392577512"/>
      <w:bookmarkStart w:id="3109" w:name="_Toc391036071"/>
      <w:bookmarkStart w:id="3110" w:name="_Toc391035998"/>
      <w:bookmarkStart w:id="3111" w:name="_Toc380501885"/>
      <w:bookmarkStart w:id="3112" w:name="_Toc354038182"/>
      <w:bookmarkStart w:id="3113" w:name="_Toc416423377"/>
      <w:bookmarkStart w:id="3114" w:name="_Toc406754194"/>
      <w:bookmarkStart w:id="3115" w:name="_Toc95495925"/>
      <w:r>
        <w:rPr>
          <w:rFonts w:ascii="Titillium" w:hAnsi="Titillium"/>
          <w:sz w:val="18"/>
          <w:szCs w:val="18"/>
        </w:rPr>
        <w:t>DEFINIZIONE DELLE CONTROVERSIE</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r>
        <w:rPr>
          <w:rFonts w:ascii="Titillium" w:hAnsi="Titillium"/>
          <w:sz w:val="18"/>
          <w:szCs w:val="18"/>
        </w:rPr>
        <w:t xml:space="preserve"> </w:t>
      </w:r>
    </w:p>
    <w:p w14:paraId="71CF8E36" w14:textId="57E9CD99" w:rsidR="004C53A8" w:rsidRDefault="00870286">
      <w:pPr>
        <w:spacing w:before="60" w:after="60"/>
      </w:pPr>
      <w:r>
        <w:rPr>
          <w:rFonts w:ascii="Titillium" w:hAnsi="Titillium"/>
          <w:sz w:val="18"/>
          <w:szCs w:val="18"/>
          <w:lang w:eastAsia="it-IT"/>
        </w:rPr>
        <w:t xml:space="preserve">Per le controversie derivanti dalla presente procedura di gara è competente il Tribunale Amministrativo di ... </w:t>
      </w:r>
      <w:r>
        <w:rPr>
          <w:rFonts w:ascii="Titillium" w:hAnsi="Titillium"/>
          <w:i/>
          <w:sz w:val="18"/>
          <w:szCs w:val="18"/>
          <w:lang w:eastAsia="it-IT"/>
        </w:rPr>
        <w:t>[indicare il Tribunale competente]</w:t>
      </w:r>
      <w:r w:rsidR="00006719">
        <w:t>.</w:t>
      </w:r>
    </w:p>
    <w:p w14:paraId="428FA068" w14:textId="03E3405A" w:rsidR="004C53A8" w:rsidRDefault="00870286">
      <w:pPr>
        <w:spacing w:before="60" w:after="60"/>
      </w:pPr>
      <w:r w:rsidRPr="00AC0EF6">
        <w:rPr>
          <w:rFonts w:ascii="Titillium" w:hAnsi="Titillium"/>
          <w:b/>
          <w:i/>
          <w:sz w:val="18"/>
          <w:szCs w:val="18"/>
          <w:lang w:eastAsia="it-IT"/>
        </w:rPr>
        <w:t>[Facoltativ</w:t>
      </w:r>
      <w:r w:rsidR="00254D96" w:rsidRPr="00AC0EF6">
        <w:rPr>
          <w:rFonts w:ascii="Titillium" w:hAnsi="Titillium"/>
          <w:b/>
          <w:i/>
          <w:sz w:val="18"/>
          <w:szCs w:val="18"/>
          <w:lang w:eastAsia="it-IT"/>
        </w:rPr>
        <w:t>o</w:t>
      </w:r>
      <w:r w:rsidRPr="00AC0EF6">
        <w:rPr>
          <w:rFonts w:ascii="Titillium" w:hAnsi="Titillium"/>
          <w:b/>
          <w:i/>
          <w:sz w:val="18"/>
          <w:szCs w:val="18"/>
          <w:lang w:eastAsia="it-IT"/>
        </w:rPr>
        <w:t>, nel caso in cui si voglia prevedere la clausola compromissoria ex articolo 209 del Codice nel contratto]</w:t>
      </w:r>
      <w:r>
        <w:rPr>
          <w:rFonts w:ascii="Titillium" w:hAnsi="Titillium"/>
          <w:i/>
          <w:sz w:val="18"/>
          <w:szCs w:val="18"/>
          <w:lang w:eastAsia="it-IT"/>
        </w:rPr>
        <w:t xml:space="preserve"> </w:t>
      </w:r>
      <w:r>
        <w:rPr>
          <w:rFonts w:ascii="Titillium" w:hAnsi="Titillium"/>
          <w:sz w:val="18"/>
          <w:szCs w:val="18"/>
          <w:lang w:eastAsia="it-IT"/>
        </w:rPr>
        <w:t>Le controversie su diritti soggettivi, derivanti dall’esecuzione del contratto, comprese quelle conseguenti al mancato raggiungimento dell’accordo bonario di cui agli articoli 205 e 206 del Codice, sono risolte mediante arbitrato amministrativo dalla Camera arbitrale presso l’Autorità Nazionale Anticorruzione secondo gli articoli 209 2 210 del Codice. A tal fine il contratto contiene apposita clausola compromissoria, salvo ricusazione di quest’ultima da parte dell’aggiudicatario, da comunicare alla stazione appaltante entro venti giorni dalla conoscenza dell’aggiudicazione. Ai sensi dell’</w:t>
      </w:r>
      <w:r w:rsidR="00291685">
        <w:rPr>
          <w:rFonts w:ascii="Titillium" w:hAnsi="Titillium"/>
          <w:sz w:val="18"/>
          <w:szCs w:val="18"/>
          <w:lang w:eastAsia="it-IT"/>
        </w:rPr>
        <w:t>articolo</w:t>
      </w:r>
      <w:r>
        <w:rPr>
          <w:rFonts w:ascii="Titillium" w:hAnsi="Titillium"/>
          <w:sz w:val="18"/>
          <w:szCs w:val="18"/>
          <w:lang w:eastAsia="it-IT"/>
        </w:rPr>
        <w:t xml:space="preserve"> 209, comma 3, del Codice, l’autorizzazione all’inserimento della clausola compromissoria è stata rilasciata con ... n. .... del .... </w:t>
      </w:r>
      <w:r>
        <w:rPr>
          <w:rFonts w:ascii="Titillium" w:hAnsi="Titillium"/>
          <w:i/>
          <w:sz w:val="18"/>
          <w:szCs w:val="18"/>
          <w:lang w:eastAsia="it-IT"/>
        </w:rPr>
        <w:t>[indicare il provvedimento, con numero e data, adottato dell’organo di governo, di autorizzazione all’inserimento della clausola compromissoria].</w:t>
      </w:r>
      <w:r>
        <w:rPr>
          <w:rFonts w:ascii="Titillium" w:hAnsi="Titillium"/>
          <w:sz w:val="18"/>
          <w:szCs w:val="18"/>
          <w:lang w:eastAsia="it-IT"/>
        </w:rPr>
        <w:t xml:space="preserve"> </w:t>
      </w:r>
    </w:p>
    <w:p w14:paraId="1B099A1D" w14:textId="77777777" w:rsidR="004C53A8" w:rsidRDefault="00870286" w:rsidP="00601972">
      <w:pPr>
        <w:pStyle w:val="Titolo2"/>
        <w:numPr>
          <w:ilvl w:val="0"/>
          <w:numId w:val="27"/>
        </w:numPr>
        <w:ind w:left="357" w:hanging="357"/>
        <w:rPr>
          <w:rFonts w:ascii="Titillium" w:hAnsi="Titillium"/>
          <w:sz w:val="18"/>
          <w:szCs w:val="18"/>
        </w:rPr>
      </w:pPr>
      <w:bookmarkStart w:id="3116" w:name="_Toc406058394"/>
      <w:bookmarkStart w:id="3117" w:name="_Toc403471286"/>
      <w:bookmarkStart w:id="3118" w:name="_Toc397422879"/>
      <w:bookmarkStart w:id="3119" w:name="_Toc397346838"/>
      <w:bookmarkStart w:id="3120" w:name="_Toc393706923"/>
      <w:bookmarkStart w:id="3121" w:name="_Toc393700850"/>
      <w:bookmarkStart w:id="3122" w:name="_Toc393283191"/>
      <w:bookmarkStart w:id="3123" w:name="_Toc393272675"/>
      <w:bookmarkStart w:id="3124" w:name="_Toc393272617"/>
      <w:bookmarkStart w:id="3125" w:name="_Toc393187861"/>
      <w:bookmarkStart w:id="3126" w:name="_Toc393112144"/>
      <w:bookmarkStart w:id="3127" w:name="_Toc393110580"/>
      <w:bookmarkStart w:id="3128" w:name="_Toc392577513"/>
      <w:bookmarkStart w:id="3129" w:name="_Toc391036072"/>
      <w:bookmarkStart w:id="3130" w:name="_Toc391035999"/>
      <w:bookmarkStart w:id="3131" w:name="_Toc380501886"/>
      <w:bookmarkStart w:id="3132" w:name="_Toc354038183"/>
      <w:bookmarkStart w:id="3133" w:name="_Toc416423378"/>
      <w:bookmarkStart w:id="3134" w:name="_Toc406754195"/>
      <w:bookmarkStart w:id="3135" w:name="_Toc95495926"/>
      <w:r>
        <w:rPr>
          <w:rFonts w:ascii="Titillium" w:hAnsi="Titillium"/>
          <w:sz w:val="18"/>
          <w:szCs w:val="18"/>
        </w:rPr>
        <w:t>TRATTAMENTO DEI DATI PERSONALI</w:t>
      </w:r>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p>
    <w:p w14:paraId="7FCF227F" w14:textId="236F99A3" w:rsidR="0088581F" w:rsidRDefault="00403DD4" w:rsidP="00172914">
      <w:pPr>
        <w:spacing w:before="60" w:after="60"/>
        <w:rPr>
          <w:rFonts w:ascii="Titillium" w:hAnsi="Titillium" w:cs="Calibri"/>
          <w:sz w:val="18"/>
          <w:szCs w:val="18"/>
          <w:lang w:eastAsia="it-IT"/>
        </w:rPr>
      </w:pPr>
      <w:r>
        <w:rPr>
          <w:rFonts w:ascii="Titillium" w:hAnsi="Titillium" w:cs="Calibri"/>
          <w:sz w:val="18"/>
          <w:szCs w:val="18"/>
          <w:lang w:eastAsia="it-IT"/>
        </w:rPr>
        <w:t xml:space="preserve">I dati raccolti sono trattati </w:t>
      </w:r>
      <w:r w:rsidR="00172914">
        <w:rPr>
          <w:rFonts w:ascii="Titillium" w:hAnsi="Titillium" w:cs="Calibri"/>
          <w:sz w:val="18"/>
          <w:szCs w:val="18"/>
          <w:lang w:eastAsia="it-IT"/>
        </w:rPr>
        <w:t xml:space="preserve">e conservati </w:t>
      </w:r>
      <w:r w:rsidR="0088581F">
        <w:rPr>
          <w:rFonts w:ascii="Titillium" w:hAnsi="Titillium" w:cs="Calibri"/>
          <w:sz w:val="18"/>
          <w:szCs w:val="18"/>
          <w:lang w:eastAsia="it-IT"/>
        </w:rPr>
        <w:t>a</w:t>
      </w:r>
      <w:r w:rsidR="00870286">
        <w:rPr>
          <w:rFonts w:ascii="Titillium" w:hAnsi="Titillium" w:cs="Calibri"/>
          <w:sz w:val="18"/>
          <w:szCs w:val="18"/>
          <w:lang w:eastAsia="it-IT"/>
        </w:rPr>
        <w:t>i sensi del Regolamento UE n.</w:t>
      </w:r>
      <w:r w:rsidR="00FE096F">
        <w:rPr>
          <w:rFonts w:ascii="Titillium" w:hAnsi="Titillium" w:cs="Calibri"/>
          <w:sz w:val="18"/>
          <w:szCs w:val="18"/>
          <w:lang w:eastAsia="it-IT"/>
        </w:rPr>
        <w:t xml:space="preserve"> </w:t>
      </w:r>
      <w:r w:rsidR="00870286">
        <w:rPr>
          <w:rFonts w:ascii="Titillium" w:hAnsi="Titillium" w:cs="Calibri"/>
          <w:sz w:val="18"/>
          <w:szCs w:val="18"/>
          <w:lang w:eastAsia="it-IT"/>
        </w:rPr>
        <w:t>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w:t>
      </w:r>
      <w:r w:rsidR="00172914" w:rsidRPr="00172914">
        <w:rPr>
          <w:rFonts w:ascii="Titillium" w:hAnsi="Titillium" w:cs="Calibri"/>
          <w:sz w:val="18"/>
          <w:szCs w:val="18"/>
          <w:lang w:eastAsia="it-IT"/>
        </w:rPr>
        <w:t>ecreto legislativo 30</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giugno 2003, n.196</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recante il “</w:t>
      </w:r>
      <w:r w:rsidR="00172914">
        <w:rPr>
          <w:rFonts w:ascii="Titillium" w:hAnsi="Titillium" w:cs="Calibri"/>
          <w:sz w:val="18"/>
          <w:szCs w:val="18"/>
          <w:lang w:eastAsia="it-IT"/>
        </w:rPr>
        <w:t>C</w:t>
      </w:r>
      <w:r w:rsidR="00172914" w:rsidRPr="00172914">
        <w:rPr>
          <w:rFonts w:ascii="Titillium" w:hAnsi="Titillium" w:cs="Calibri"/>
          <w:sz w:val="18"/>
          <w:szCs w:val="18"/>
          <w:lang w:eastAsia="it-IT"/>
        </w:rPr>
        <w:t>odice in materia di protezione dei dati personali</w:t>
      </w:r>
      <w:r w:rsidR="00172914">
        <w:rPr>
          <w:rFonts w:ascii="Titillium" w:hAnsi="Titillium" w:cs="Calibri"/>
          <w:sz w:val="18"/>
          <w:szCs w:val="18"/>
          <w:lang w:eastAsia="it-IT"/>
        </w:rPr>
        <w:t xml:space="preserve">” e ss mm e ii </w:t>
      </w:r>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decreto della Presidenza del Consiglio dei Ministri n. 148/21 e dei relativi atti di attuazione.</w:t>
      </w:r>
      <w:r w:rsidR="0088581F">
        <w:rPr>
          <w:rFonts w:ascii="Titillium" w:hAnsi="Titillium" w:cs="Calibri"/>
          <w:sz w:val="18"/>
          <w:szCs w:val="18"/>
          <w:lang w:eastAsia="it-IT"/>
        </w:rPr>
        <w:t xml:space="preserve"> In particolare</w:t>
      </w:r>
      <w:r w:rsidR="0088581F" w:rsidRPr="0088581F">
        <w:t xml:space="preserve"> </w:t>
      </w:r>
      <w:r w:rsidR="0088581F">
        <w:rPr>
          <w:rFonts w:ascii="Titillium" w:hAnsi="Titillium" w:cs="Calibri"/>
          <w:sz w:val="18"/>
          <w:szCs w:val="18"/>
          <w:lang w:eastAsia="it-IT"/>
        </w:rPr>
        <w:t>si forniscono le seguenti informazioni su</w:t>
      </w:r>
      <w:r w:rsidR="00F00628">
        <w:rPr>
          <w:rFonts w:ascii="Titillium" w:hAnsi="Titillium" w:cs="Calibri"/>
          <w:sz w:val="18"/>
          <w:szCs w:val="18"/>
          <w:lang w:eastAsia="it-IT"/>
        </w:rPr>
        <w:t>l trattamento dei dati personali</w:t>
      </w:r>
      <w:r w:rsidR="00F00628">
        <w:t xml:space="preserve"> … </w:t>
      </w:r>
      <w:r w:rsidR="0088581F" w:rsidRPr="007B03F4">
        <w:rPr>
          <w:i/>
        </w:rPr>
        <w:t>[</w:t>
      </w:r>
      <w:r w:rsidR="0088581F" w:rsidRPr="007B03F4">
        <w:rPr>
          <w:rFonts w:ascii="Titillium" w:hAnsi="Titillium" w:cs="Calibri"/>
          <w:i/>
          <w:sz w:val="18"/>
          <w:szCs w:val="18"/>
          <w:lang w:eastAsia="it-IT"/>
        </w:rPr>
        <w:t>indicare le informazioni sul trattamento dei dati personali dovute in considerazione delle specificità del singolo appalto, della stazione appaltante, dei suoi rapporti con il gestore della piattaforma, delle caratteristiche tecniche della piattaforma utilizzata</w:t>
      </w:r>
      <w:r w:rsidR="00585A99" w:rsidRPr="007B03F4">
        <w:rPr>
          <w:rFonts w:ascii="Titillium" w:hAnsi="Titillium" w:cs="Calibri"/>
          <w:i/>
          <w:sz w:val="18"/>
          <w:szCs w:val="18"/>
          <w:lang w:eastAsia="it-IT"/>
        </w:rPr>
        <w:t>.</w:t>
      </w:r>
      <w:r w:rsidR="00172914" w:rsidRPr="007B03F4">
        <w:rPr>
          <w:rFonts w:ascii="Titillium" w:hAnsi="Titillium" w:cs="Calibri"/>
          <w:i/>
          <w:sz w:val="18"/>
          <w:szCs w:val="18"/>
          <w:lang w:eastAsia="it-IT"/>
        </w:rPr>
        <w:t xml:space="preserve"> Tali informazioni devono riguardare</w:t>
      </w:r>
      <w:r w:rsidR="007B03F4" w:rsidRPr="007B03F4">
        <w:rPr>
          <w:rFonts w:ascii="Titillium" w:hAnsi="Titillium" w:cs="Calibri"/>
          <w:i/>
          <w:sz w:val="18"/>
          <w:szCs w:val="18"/>
          <w:lang w:eastAsia="it-IT"/>
        </w:rPr>
        <w:t>, in particolare</w:t>
      </w:r>
      <w:r w:rsidR="00172914" w:rsidRPr="007B03F4">
        <w:rPr>
          <w:rFonts w:ascii="Titillium" w:hAnsi="Titillium" w:cs="Calibri"/>
          <w:i/>
          <w:sz w:val="18"/>
          <w:szCs w:val="18"/>
          <w:lang w:eastAsia="it-IT"/>
        </w:rPr>
        <w:t xml:space="preserve">: </w:t>
      </w:r>
      <w:r w:rsidR="007B03F4" w:rsidRPr="007B03F4">
        <w:rPr>
          <w:rFonts w:ascii="Titillium" w:hAnsi="Titillium" w:cs="Calibri"/>
          <w:i/>
          <w:sz w:val="18"/>
          <w:szCs w:val="18"/>
          <w:lang w:eastAsia="it-IT"/>
        </w:rPr>
        <w:t xml:space="preserve">a) la finalità del trattamento; b) la base giuridica e natura del conferimento dei dati; c) </w:t>
      </w:r>
      <w:r w:rsidR="00FE096F">
        <w:rPr>
          <w:rFonts w:ascii="Titillium" w:hAnsi="Titillium" w:cs="Calibri"/>
          <w:i/>
          <w:sz w:val="18"/>
          <w:szCs w:val="18"/>
          <w:lang w:eastAsia="it-IT"/>
        </w:rPr>
        <w:t xml:space="preserve">la </w:t>
      </w:r>
      <w:r w:rsidR="007B03F4" w:rsidRPr="007B03F4">
        <w:rPr>
          <w:rFonts w:ascii="Titillium" w:hAnsi="Titillium" w:cs="Calibri"/>
          <w:i/>
          <w:sz w:val="18"/>
          <w:szCs w:val="18"/>
          <w:lang w:eastAsia="it-IT"/>
        </w:rPr>
        <w:t xml:space="preserve">natura dei dati trattati; d) </w:t>
      </w:r>
      <w:r w:rsidR="00FE096F">
        <w:rPr>
          <w:rFonts w:ascii="Titillium" w:hAnsi="Titillium" w:cs="Calibri"/>
          <w:i/>
          <w:sz w:val="18"/>
          <w:szCs w:val="18"/>
          <w:lang w:eastAsia="it-IT"/>
        </w:rPr>
        <w:t xml:space="preserve">le </w:t>
      </w:r>
      <w:r w:rsidR="007B03F4" w:rsidRPr="007B03F4">
        <w:rPr>
          <w:rFonts w:ascii="Titillium" w:hAnsi="Titillium" w:cs="Calibri"/>
          <w:i/>
          <w:sz w:val="18"/>
          <w:szCs w:val="18"/>
          <w:lang w:eastAsia="it-IT"/>
        </w:rPr>
        <w:t xml:space="preserve">modalità del trattamento dei dati; e)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f)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g) periodo di conservazione dei dati; h) </w:t>
      </w:r>
      <w:r w:rsidR="00FE096F">
        <w:rPr>
          <w:rFonts w:ascii="Titillium" w:hAnsi="Titillium" w:cs="Calibri"/>
          <w:i/>
          <w:sz w:val="18"/>
          <w:szCs w:val="18"/>
          <w:lang w:eastAsia="it-IT"/>
        </w:rPr>
        <w:t xml:space="preserve">i </w:t>
      </w:r>
      <w:r w:rsidR="007B03F4" w:rsidRPr="007B03F4">
        <w:rPr>
          <w:rFonts w:ascii="Titillium" w:hAnsi="Titillium" w:cs="Calibri"/>
          <w:i/>
          <w:sz w:val="18"/>
          <w:szCs w:val="18"/>
          <w:lang w:eastAsia="it-IT"/>
        </w:rPr>
        <w:t xml:space="preserve">diritti del concorrente/interessato; i) </w:t>
      </w:r>
      <w:r w:rsidR="00FE096F">
        <w:rPr>
          <w:rFonts w:ascii="Titillium" w:hAnsi="Titillium" w:cs="Calibri"/>
          <w:i/>
          <w:sz w:val="18"/>
          <w:szCs w:val="18"/>
          <w:lang w:eastAsia="it-IT"/>
        </w:rPr>
        <w:t xml:space="preserve">il </w:t>
      </w:r>
      <w:r w:rsidR="007B03F4" w:rsidRPr="007B03F4">
        <w:rPr>
          <w:rFonts w:ascii="Titillium" w:hAnsi="Titillium" w:cs="Calibri"/>
          <w:i/>
          <w:sz w:val="18"/>
          <w:szCs w:val="18"/>
          <w:lang w:eastAsia="it-IT"/>
        </w:rPr>
        <w:t>titolare del trattamento e responsabile della protezione dei dati</w:t>
      </w:r>
      <w:r w:rsidR="0088581F" w:rsidRPr="007B03F4">
        <w:rPr>
          <w:rFonts w:ascii="Titillium" w:hAnsi="Titillium" w:cs="Calibri"/>
          <w:i/>
          <w:sz w:val="18"/>
          <w:szCs w:val="18"/>
          <w:lang w:eastAsia="it-IT"/>
        </w:rPr>
        <w:t>]</w:t>
      </w:r>
      <w:r w:rsidR="00255D0E">
        <w:rPr>
          <w:rFonts w:ascii="Titillium" w:hAnsi="Titillium" w:cs="Calibri"/>
          <w:sz w:val="18"/>
          <w:szCs w:val="18"/>
          <w:lang w:eastAsia="it-IT"/>
        </w:rPr>
        <w:t>.</w:t>
      </w:r>
    </w:p>
    <w:p w14:paraId="0713FB60" w14:textId="335E58A7" w:rsidR="00533C7E" w:rsidRPr="00FE096F" w:rsidRDefault="00533C7E" w:rsidP="00172914">
      <w:pPr>
        <w:spacing w:before="60" w:after="60"/>
        <w:rPr>
          <w:rFonts w:ascii="Titillium" w:hAnsi="Titillium" w:cs="Calibri"/>
          <w:sz w:val="18"/>
          <w:szCs w:val="18"/>
          <w:lang w:eastAsia="it-IT"/>
        </w:rPr>
      </w:pPr>
      <w:r w:rsidRPr="00AC0EF6">
        <w:rPr>
          <w:rFonts w:ascii="Titillium" w:hAnsi="Titillium" w:cs="Calibri"/>
          <w:b/>
          <w:i/>
          <w:sz w:val="18"/>
          <w:szCs w:val="18"/>
          <w:lang w:eastAsia="it-IT"/>
        </w:rPr>
        <w:t>[In alternativa</w:t>
      </w:r>
      <w:r w:rsidR="00DE507E" w:rsidRPr="00AC0EF6">
        <w:rPr>
          <w:rFonts w:ascii="Titillium" w:hAnsi="Titillium" w:cs="Calibri"/>
          <w:b/>
          <w:i/>
          <w:sz w:val="18"/>
          <w:szCs w:val="18"/>
          <w:lang w:eastAsia="it-IT"/>
        </w:rPr>
        <w:t>]</w:t>
      </w:r>
      <w:r w:rsidR="00DE507E">
        <w:rPr>
          <w:rFonts w:ascii="Titillium" w:hAnsi="Titillium" w:cs="Calibri"/>
          <w:b/>
          <w:sz w:val="18"/>
          <w:szCs w:val="18"/>
          <w:lang w:eastAsia="it-IT"/>
        </w:rPr>
        <w:t xml:space="preserve"> </w:t>
      </w:r>
      <w:r w:rsidR="00DE507E" w:rsidRPr="00DE507E">
        <w:rPr>
          <w:rFonts w:ascii="Titillium" w:hAnsi="Titillium" w:cs="Calibri"/>
          <w:sz w:val="18"/>
          <w:szCs w:val="18"/>
          <w:lang w:eastAsia="it-IT"/>
        </w:rPr>
        <w:t>I dati raccolti sono trattati e conservati ai sensi del Regolamento UE n.2016/679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del </w:t>
      </w:r>
      <w:r w:rsidR="00DE507E" w:rsidRPr="00DE507E">
        <w:rPr>
          <w:rFonts w:ascii="Titillium" w:hAnsi="Titillium" w:cs="Calibri"/>
          <w:sz w:val="18"/>
          <w:szCs w:val="18"/>
          <w:lang w:eastAsia="it-IT"/>
        </w:rPr>
        <w:t>decreto legislativo 30 giugno 2003, n.</w:t>
      </w:r>
      <w:r w:rsidR="00FE096F">
        <w:rPr>
          <w:rFonts w:ascii="Titillium" w:hAnsi="Titillium" w:cs="Calibri"/>
          <w:sz w:val="18"/>
          <w:szCs w:val="18"/>
          <w:lang w:eastAsia="it-IT"/>
        </w:rPr>
        <w:t xml:space="preserve"> </w:t>
      </w:r>
      <w:r w:rsidR="00DE507E" w:rsidRPr="00DE507E">
        <w:rPr>
          <w:rFonts w:ascii="Titillium" w:hAnsi="Titillium" w:cs="Calibri"/>
          <w:sz w:val="18"/>
          <w:szCs w:val="18"/>
          <w:lang w:eastAsia="it-IT"/>
        </w:rPr>
        <w:t>196 recante il “Codice in materia di protezione dei dati personali” e ss mm e ii</w:t>
      </w:r>
      <w:r w:rsidR="00DE507E">
        <w:rPr>
          <w:rFonts w:ascii="Titillium" w:hAnsi="Titillium" w:cs="Calibri"/>
          <w:sz w:val="18"/>
          <w:szCs w:val="18"/>
          <w:lang w:eastAsia="it-IT"/>
        </w:rPr>
        <w:t xml:space="preserve">, </w:t>
      </w:r>
      <w:r w:rsidR="00DE507E" w:rsidRPr="00DE507E">
        <w:rPr>
          <w:rFonts w:ascii="Titillium" w:hAnsi="Titillium" w:cs="Calibri"/>
          <w:sz w:val="18"/>
          <w:szCs w:val="18"/>
          <w:lang w:eastAsia="it-IT"/>
        </w:rPr>
        <w:t>del decreto della Presidenza del Consiglio dei Ministri n. 148/21 e dei relativi atti di attuazione</w:t>
      </w:r>
      <w:r w:rsidR="00DE507E">
        <w:rPr>
          <w:rFonts w:ascii="Titillium" w:hAnsi="Titillium" w:cs="Calibri"/>
          <w:sz w:val="18"/>
          <w:szCs w:val="18"/>
          <w:lang w:eastAsia="it-IT"/>
        </w:rPr>
        <w:t xml:space="preserve"> secondo quanto riportato nell’apposita scheda informativa allegata alla documentazione di gara sub … </w:t>
      </w:r>
      <w:r w:rsidR="00DE507E" w:rsidRPr="00FE096F">
        <w:rPr>
          <w:rFonts w:ascii="Titillium" w:hAnsi="Titillium" w:cs="Calibri"/>
          <w:i/>
          <w:sz w:val="18"/>
          <w:szCs w:val="18"/>
          <w:lang w:eastAsia="it-IT"/>
        </w:rPr>
        <w:t>[indicare il numero dell’allegato]</w:t>
      </w:r>
      <w:r w:rsidR="00DE507E">
        <w:rPr>
          <w:rFonts w:ascii="Titillium" w:hAnsi="Titillium" w:cs="Calibri"/>
          <w:i/>
          <w:sz w:val="18"/>
          <w:szCs w:val="18"/>
          <w:lang w:eastAsia="it-IT"/>
        </w:rPr>
        <w:t>.</w:t>
      </w:r>
    </w:p>
    <w:p w14:paraId="3172F432" w14:textId="77777777" w:rsidR="00A177B3" w:rsidRPr="00A177B3" w:rsidRDefault="00A177B3">
      <w:pPr>
        <w:spacing w:before="60" w:after="60"/>
        <w:rPr>
          <w:rFonts w:ascii="Titillium" w:hAnsi="Titillium" w:cs="Calibri"/>
          <w:sz w:val="18"/>
          <w:szCs w:val="18"/>
          <w:lang w:eastAsia="it-IT"/>
        </w:rPr>
      </w:pPr>
    </w:p>
    <w:tbl>
      <w:tblPr>
        <w:tblW w:w="9210" w:type="dxa"/>
        <w:tblInd w:w="-108" w:type="dxa"/>
        <w:tblLook w:val="04A0" w:firstRow="1" w:lastRow="0" w:firstColumn="1" w:lastColumn="0" w:noHBand="0" w:noVBand="1"/>
      </w:tblPr>
      <w:tblGrid>
        <w:gridCol w:w="9210"/>
      </w:tblGrid>
      <w:tr w:rsidR="004C53A8" w14:paraId="789A9AD0" w14:textId="77777777">
        <w:tc>
          <w:tcPr>
            <w:tcW w:w="9210" w:type="dxa"/>
            <w:tcBorders>
              <w:top w:val="single" w:sz="4" w:space="0" w:color="000000"/>
              <w:left w:val="single" w:sz="4" w:space="0" w:color="000000"/>
              <w:bottom w:val="single" w:sz="4" w:space="0" w:color="000000"/>
              <w:right w:val="single" w:sz="4" w:space="0" w:color="000000"/>
            </w:tcBorders>
          </w:tcPr>
          <w:p w14:paraId="21594436" w14:textId="37F7E304" w:rsidR="004C53A8" w:rsidRDefault="00870286" w:rsidP="007B03F4">
            <w:pPr>
              <w:spacing w:before="60" w:after="60"/>
              <w:rPr>
                <w:rFonts w:ascii="Titillium" w:hAnsi="Titillium" w:cs="Calibri"/>
                <w:i/>
                <w:sz w:val="18"/>
                <w:szCs w:val="18"/>
              </w:rPr>
            </w:pPr>
            <w:r>
              <w:rPr>
                <w:rFonts w:ascii="Titillium" w:hAnsi="Titillium" w:cs="Calibri"/>
                <w:i/>
                <w:sz w:val="18"/>
                <w:szCs w:val="18"/>
              </w:rPr>
              <w:t xml:space="preserve">N.B. La stazione appaltante </w:t>
            </w:r>
            <w:r w:rsidR="007B03F4">
              <w:rPr>
                <w:rFonts w:ascii="Titillium" w:hAnsi="Titillium" w:cs="Calibri"/>
                <w:i/>
                <w:sz w:val="18"/>
                <w:szCs w:val="18"/>
              </w:rPr>
              <w:t xml:space="preserve">predispone la clausola </w:t>
            </w:r>
            <w:r>
              <w:rPr>
                <w:rFonts w:ascii="Titillium" w:hAnsi="Titillium" w:cs="Calibri"/>
                <w:i/>
                <w:sz w:val="18"/>
                <w:szCs w:val="18"/>
              </w:rPr>
              <w:t>in base agli indirizzi adottati al proprio interno per l’attuazione della normativa sulla privacy.</w:t>
            </w:r>
            <w:r w:rsidR="00585A99">
              <w:rPr>
                <w:rFonts w:ascii="Titillium" w:hAnsi="Titillium" w:cs="Calibri"/>
                <w:i/>
                <w:sz w:val="18"/>
                <w:szCs w:val="18"/>
              </w:rPr>
              <w:t xml:space="preserve"> </w:t>
            </w:r>
          </w:p>
        </w:tc>
      </w:tr>
    </w:tbl>
    <w:p w14:paraId="5E321D8A" w14:textId="77777777" w:rsidR="004C53A8" w:rsidRDefault="004C53A8">
      <w:pPr>
        <w:spacing w:before="60" w:after="60"/>
        <w:rPr>
          <w:rFonts w:ascii="Titillium" w:hAnsi="Titillium" w:cs="Calibri"/>
          <w:sz w:val="18"/>
          <w:szCs w:val="18"/>
          <w:lang w:eastAsia="it-IT"/>
        </w:rPr>
      </w:pPr>
    </w:p>
    <w:sectPr w:rsidR="004C53A8">
      <w:headerReference w:type="default" r:id="rId20"/>
      <w:footerReference w:type="default" r:id="rId21"/>
      <w:pgSz w:w="11906" w:h="16838"/>
      <w:pgMar w:top="1418" w:right="1136" w:bottom="680" w:left="1550"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73110" w14:textId="77777777" w:rsidR="00655C22" w:rsidRDefault="00655C22">
      <w:pPr>
        <w:spacing w:line="240" w:lineRule="auto"/>
      </w:pPr>
      <w:r>
        <w:separator/>
      </w:r>
    </w:p>
  </w:endnote>
  <w:endnote w:type="continuationSeparator" w:id="0">
    <w:p w14:paraId="4008CBCA" w14:textId="77777777" w:rsidR="00655C22" w:rsidRDefault="00655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altName w:val="Courier New"/>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eb">
    <w:altName w:val="Times New Roman"/>
    <w:charset w:val="4D"/>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panose1 w:val="00000000000000000000"/>
    <w:charset w:val="00"/>
    <w:family w:val="modern"/>
    <w:notTrueType/>
    <w:pitch w:val="variable"/>
    <w:sig w:usb0="A00000AF" w:usb1="50000048" w:usb2="00000000" w:usb3="00000000" w:csb0="00000111" w:csb1="00000000"/>
  </w:font>
  <w:font w:name="Gotham Book">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altName w:val="Courier New"/>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B4F0" w14:textId="764A5214" w:rsidR="00655C22" w:rsidRDefault="00655C22">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D372C4">
      <w:rPr>
        <w:rFonts w:ascii="Titillium" w:hAnsi="Titillium"/>
        <w:b/>
        <w:bCs/>
        <w:noProof/>
        <w:sz w:val="16"/>
        <w:szCs w:val="16"/>
      </w:rPr>
      <w:t>2</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D372C4">
      <w:rPr>
        <w:rFonts w:ascii="Titillium" w:hAnsi="Titillium"/>
        <w:b/>
        <w:bCs/>
        <w:noProof/>
        <w:sz w:val="16"/>
        <w:szCs w:val="16"/>
      </w:rPr>
      <w:t>18</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D9619" w14:textId="77777777" w:rsidR="00655C22" w:rsidRDefault="00655C22"/>
  </w:footnote>
  <w:footnote w:type="continuationSeparator" w:id="0">
    <w:p w14:paraId="617B8161" w14:textId="77777777" w:rsidR="00655C22" w:rsidRDefault="0065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F569" w14:textId="4F72E4E3" w:rsidR="00655C22" w:rsidRDefault="00250E40">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spacing w:line="240" w:lineRule="auto"/>
      <w:ind w:left="1560" w:right="142"/>
      <w:jc w:val="left"/>
      <w:rPr>
        <w:rFonts w:ascii="Calibri" w:eastAsia="Calibri" w:hAnsi="Calibri" w:cs="Calibri"/>
        <w:sz w:val="20"/>
        <w:szCs w:val="24"/>
      </w:rPr>
    </w:pPr>
    <w:r w:rsidRPr="00812E18">
      <w:rPr>
        <w:noProof/>
        <w:lang w:eastAsia="it-IT"/>
      </w:rPr>
      <w:drawing>
        <wp:anchor distT="0" distB="0" distL="114300" distR="114300" simplePos="0" relativeHeight="251659264" behindDoc="0" locked="0" layoutInCell="1" allowOverlap="1" wp14:anchorId="05C3B920" wp14:editId="40A1C03D">
          <wp:simplePos x="0" y="0"/>
          <wp:positionH relativeFrom="margin">
            <wp:posOffset>0</wp:posOffset>
          </wp:positionH>
          <wp:positionV relativeFrom="margin">
            <wp:posOffset>-386715</wp:posOffset>
          </wp:positionV>
          <wp:extent cx="2879725" cy="341630"/>
          <wp:effectExtent l="0" t="0" r="0" b="127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79725" cy="341630"/>
                  </a:xfrm>
                  <a:prstGeom prst="rect">
                    <a:avLst/>
                  </a:prstGeom>
                </pic:spPr>
              </pic:pic>
            </a:graphicData>
          </a:graphic>
        </wp:anchor>
      </w:drawing>
    </w:r>
  </w:p>
  <w:p w14:paraId="1317B243" w14:textId="77777777" w:rsidR="00655C22" w:rsidRDefault="00655C22">
    <w:pPr>
      <w:pStyle w:val="Intestazione"/>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CEC5D2E"/>
    <w:multiLevelType w:val="hybridMultilevel"/>
    <w:tmpl w:val="0DE68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CC4F08"/>
    <w:multiLevelType w:val="hybridMultilevel"/>
    <w:tmpl w:val="6EBCC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5B36BF"/>
    <w:multiLevelType w:val="multilevel"/>
    <w:tmpl w:val="2D6C0BC2"/>
    <w:lvl w:ilvl="0">
      <w:start w:val="1"/>
      <w:numFmt w:val="lowerLetter"/>
      <w:lvlText w:val="%1)"/>
      <w:lvlJc w:val="left"/>
      <w:pPr>
        <w:ind w:left="1287" w:hanging="360"/>
      </w:pPr>
      <w:rPr>
        <w:rFonts w:ascii="Titillium" w:hAnsi="Titillium" w:hint="default"/>
        <w:sz w:val="18"/>
        <w:szCs w:val="1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111C20C1"/>
    <w:multiLevelType w:val="multilevel"/>
    <w:tmpl w:val="494AEE94"/>
    <w:lvl w:ilvl="0">
      <w:start w:val="1"/>
      <w:numFmt w:val="decimal"/>
      <w:lvlText w:val="%1)"/>
      <w:lvlJc w:val="left"/>
      <w:pPr>
        <w:ind w:left="720" w:hanging="360"/>
      </w:pPr>
      <w:rPr>
        <w:rFonts w:ascii="Titillium" w:hAnsi="Titillium"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53F40F2"/>
    <w:multiLevelType w:val="hybridMultilevel"/>
    <w:tmpl w:val="AD423140"/>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4"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AF864C9"/>
    <w:multiLevelType w:val="multilevel"/>
    <w:tmpl w:val="8F30D0D2"/>
    <w:lvl w:ilvl="0">
      <w:start w:val="7"/>
      <w:numFmt w:val="lowerLetter"/>
      <w:lvlText w:val="%1)"/>
      <w:lvlJc w:val="left"/>
      <w:pPr>
        <w:tabs>
          <w:tab w:val="num" w:pos="360"/>
        </w:tabs>
        <w:ind w:left="360" w:hanging="360"/>
      </w:pPr>
      <w:rPr>
        <w:rFonts w:ascii="Titillium" w:hAnsi="Titillium" w:hint="default"/>
        <w:sz w:val="18"/>
        <w:szCs w:val="18"/>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7" w15:restartNumberingAfterBreak="0">
    <w:nsid w:val="1F7B6247"/>
    <w:multiLevelType w:val="hybridMultilevel"/>
    <w:tmpl w:val="AC9C72B4"/>
    <w:lvl w:ilvl="0" w:tplc="FF98058C">
      <w:start w:val="1"/>
      <w:numFmt w:val="lowerLetter"/>
      <w:lvlText w:val="%1)"/>
      <w:lvlJc w:val="left"/>
      <w:pPr>
        <w:ind w:left="720" w:hanging="360"/>
      </w:pPr>
      <w:rPr>
        <w:rFonts w:ascii="Titillium" w:hAnsi="Titillium" w:hint="default"/>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99510F"/>
    <w:multiLevelType w:val="hybridMultilevel"/>
    <w:tmpl w:val="F86608A6"/>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1516FD"/>
    <w:multiLevelType w:val="hybridMultilevel"/>
    <w:tmpl w:val="2EF82676"/>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D97C60"/>
    <w:multiLevelType w:val="hybridMultilevel"/>
    <w:tmpl w:val="8D300C58"/>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5F02F7B"/>
    <w:multiLevelType w:val="hybridMultilevel"/>
    <w:tmpl w:val="76867E6C"/>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E330AA9"/>
    <w:multiLevelType w:val="multilevel"/>
    <w:tmpl w:val="4D5C5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824D34"/>
    <w:multiLevelType w:val="multilevel"/>
    <w:tmpl w:val="28D86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5611AFF"/>
    <w:multiLevelType w:val="multilevel"/>
    <w:tmpl w:val="B13237EC"/>
    <w:lvl w:ilvl="0">
      <w:start w:val="1"/>
      <w:numFmt w:val="decimal"/>
      <w:pStyle w:val="Titolo2"/>
      <w:lvlText w:val="%1."/>
      <w:lvlJc w:val="left"/>
      <w:pPr>
        <w:ind w:left="360" w:hanging="360"/>
      </w:pPr>
      <w:rPr>
        <w:b/>
        <w:i w:val="0"/>
        <w:sz w:val="18"/>
      </w:rPr>
    </w:lvl>
    <w:lvl w:ilvl="1">
      <w:start w:val="1"/>
      <w:numFmt w:val="decimal"/>
      <w:pStyle w:val="Titolo3"/>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1497"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A8072F1"/>
    <w:multiLevelType w:val="multilevel"/>
    <w:tmpl w:val="595CA9C2"/>
    <w:lvl w:ilvl="0">
      <w:start w:val="12"/>
      <w:numFmt w:val="lowerLetter"/>
      <w:lvlText w:val="%1)"/>
      <w:lvlJc w:val="left"/>
      <w:pPr>
        <w:ind w:left="360" w:hanging="360"/>
      </w:pPr>
      <w:rPr>
        <w:rFonts w:ascii="Titillium" w:hAnsi="Titillium" w:hint="default"/>
        <w:b/>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0A77BEB"/>
    <w:multiLevelType w:val="hybridMultilevel"/>
    <w:tmpl w:val="739820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B1323A"/>
    <w:multiLevelType w:val="hybridMultilevel"/>
    <w:tmpl w:val="0E26115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45CE2B93"/>
    <w:multiLevelType w:val="multilevel"/>
    <w:tmpl w:val="9D542D0C"/>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788" w:hanging="504"/>
      </w:pPr>
      <w:rPr>
        <w:rFonts w:eastAsia="Times New Roman" w:cs="Calibri"/>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FD0447"/>
    <w:multiLevelType w:val="multilevel"/>
    <w:tmpl w:val="0792E2DA"/>
    <w:lvl w:ilvl="0">
      <w:start w:val="9"/>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075654F"/>
    <w:multiLevelType w:val="multilevel"/>
    <w:tmpl w:val="7B04E0E6"/>
    <w:lvl w:ilvl="0">
      <w:start w:val="1"/>
      <w:numFmt w:val="lowerLetter"/>
      <w:lvlText w:val="%1)"/>
      <w:lvlJc w:val="left"/>
      <w:pPr>
        <w:ind w:left="644" w:hanging="360"/>
      </w:pPr>
      <w:rPr>
        <w:rFonts w:ascii="Titillium" w:hAnsi="Titillium" w:hint="default"/>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2316F9"/>
    <w:multiLevelType w:val="multilevel"/>
    <w:tmpl w:val="C2501414"/>
    <w:lvl w:ilvl="0">
      <w:start w:val="1"/>
      <w:numFmt w:val="upperLetter"/>
      <w:lvlText w:val="%1)"/>
      <w:lvlJc w:val="left"/>
      <w:pPr>
        <w:ind w:left="3479" w:hanging="360"/>
      </w:pPr>
      <w:rPr>
        <w:rFonts w:ascii="Titilium" w:hAnsi="Titilium" w:hint="default"/>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43"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BA2323"/>
    <w:multiLevelType w:val="hybridMultilevel"/>
    <w:tmpl w:val="59C8E63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6B1C5936"/>
    <w:multiLevelType w:val="hybridMultilevel"/>
    <w:tmpl w:val="6AD4CB20"/>
    <w:lvl w:ilvl="0" w:tplc="392811C0">
      <w:start w:val="4"/>
      <w:numFmt w:val="bullet"/>
      <w:lvlText w:val="-"/>
      <w:lvlJc w:val="left"/>
      <w:pPr>
        <w:ind w:left="144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08F6EA0"/>
    <w:multiLevelType w:val="multilevel"/>
    <w:tmpl w:val="EF9E413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29510C3"/>
    <w:multiLevelType w:val="hybridMultilevel"/>
    <w:tmpl w:val="676C23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6F67F74"/>
    <w:multiLevelType w:val="multilevel"/>
    <w:tmpl w:val="92A8C7C4"/>
    <w:lvl w:ilvl="0">
      <w:start w:val="1"/>
      <w:numFmt w:val="bullet"/>
      <w:lvlText w:val="-"/>
      <w:lvlJc w:val="left"/>
      <w:pPr>
        <w:ind w:left="1440" w:hanging="360"/>
      </w:pPr>
      <w:rPr>
        <w:rFonts w:ascii="Garamond" w:hAnsi="Garamond" w:cs="Times New Roman" w:hint="default"/>
        <w:b/>
        <w:i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0"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207AAE"/>
    <w:multiLevelType w:val="multilevel"/>
    <w:tmpl w:val="69E4F0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0C6238"/>
    <w:multiLevelType w:val="hybridMultilevel"/>
    <w:tmpl w:val="AD004A22"/>
    <w:lvl w:ilvl="0" w:tplc="392811C0">
      <w:start w:val="4"/>
      <w:numFmt w:val="bullet"/>
      <w:lvlText w:val="-"/>
      <w:lvlJc w:val="left"/>
      <w:pPr>
        <w:ind w:left="720" w:hanging="360"/>
      </w:pPr>
      <w:rPr>
        <w:rFonts w:ascii="Titillium" w:hAnsi="Titillium" w:cs="Titillium Web"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30"/>
  </w:num>
  <w:num w:numId="4">
    <w:abstractNumId w:val="9"/>
  </w:num>
  <w:num w:numId="5">
    <w:abstractNumId w:val="24"/>
  </w:num>
  <w:num w:numId="6">
    <w:abstractNumId w:val="49"/>
  </w:num>
  <w:num w:numId="7">
    <w:abstractNumId w:val="23"/>
  </w:num>
  <w:num w:numId="8">
    <w:abstractNumId w:val="27"/>
  </w:num>
  <w:num w:numId="9">
    <w:abstractNumId w:val="25"/>
  </w:num>
  <w:num w:numId="10">
    <w:abstractNumId w:val="1"/>
  </w:num>
  <w:num w:numId="11">
    <w:abstractNumId w:val="14"/>
  </w:num>
  <w:num w:numId="12">
    <w:abstractNumId w:val="12"/>
  </w:num>
  <w:num w:numId="13">
    <w:abstractNumId w:val="3"/>
  </w:num>
  <w:num w:numId="14">
    <w:abstractNumId w:val="5"/>
  </w:num>
  <w:num w:numId="15">
    <w:abstractNumId w:val="4"/>
  </w:num>
  <w:num w:numId="16">
    <w:abstractNumId w:val="10"/>
  </w:num>
  <w:num w:numId="17">
    <w:abstractNumId w:val="36"/>
  </w:num>
  <w:num w:numId="18">
    <w:abstractNumId w:val="29"/>
  </w:num>
  <w:num w:numId="19">
    <w:abstractNumId w:val="34"/>
  </w:num>
  <w:num w:numId="20">
    <w:abstractNumId w:val="50"/>
  </w:num>
  <w:num w:numId="21">
    <w:abstractNumId w:val="41"/>
  </w:num>
  <w:num w:numId="22">
    <w:abstractNumId w:val="2"/>
  </w:num>
  <w:num w:numId="23">
    <w:abstractNumId w:val="15"/>
  </w:num>
  <w:num w:numId="24">
    <w:abstractNumId w:val="8"/>
  </w:num>
  <w:num w:numId="25">
    <w:abstractNumId w:val="32"/>
  </w:num>
  <w:num w:numId="26">
    <w:abstractNumId w:val="38"/>
  </w:num>
  <w:num w:numId="27">
    <w:abstractNumId w:val="43"/>
  </w:num>
  <w:num w:numId="28">
    <w:abstractNumId w:val="26"/>
  </w:num>
  <w:num w:numId="29">
    <w:abstractNumId w:val="42"/>
  </w:num>
  <w:num w:numId="30">
    <w:abstractNumId w:val="51"/>
  </w:num>
  <w:num w:numId="31">
    <w:abstractNumId w:val="31"/>
  </w:num>
  <w:num w:numId="32">
    <w:abstractNumId w:val="39"/>
  </w:num>
  <w:num w:numId="33">
    <w:abstractNumId w:val="0"/>
  </w:num>
  <w:num w:numId="34">
    <w:abstractNumId w:val="16"/>
  </w:num>
  <w:num w:numId="35">
    <w:abstractNumId w:val="15"/>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6">
    <w:abstractNumId w:val="37"/>
  </w:num>
  <w:num w:numId="37">
    <w:abstractNumId w:val="48"/>
  </w:num>
  <w:num w:numId="38">
    <w:abstractNumId w:val="17"/>
  </w:num>
  <w:num w:numId="39">
    <w:abstractNumId w:val="33"/>
  </w:num>
  <w:num w:numId="40">
    <w:abstractNumId w:val="11"/>
  </w:num>
  <w:num w:numId="41">
    <w:abstractNumId w:val="13"/>
  </w:num>
  <w:num w:numId="42">
    <w:abstractNumId w:val="19"/>
  </w:num>
  <w:num w:numId="43">
    <w:abstractNumId w:val="47"/>
  </w:num>
  <w:num w:numId="44">
    <w:abstractNumId w:val="35"/>
  </w:num>
  <w:num w:numId="45">
    <w:abstractNumId w:val="20"/>
  </w:num>
  <w:num w:numId="46">
    <w:abstractNumId w:val="46"/>
  </w:num>
  <w:num w:numId="47">
    <w:abstractNumId w:val="21"/>
  </w:num>
  <w:num w:numId="48">
    <w:abstractNumId w:val="44"/>
  </w:num>
  <w:num w:numId="49">
    <w:abstractNumId w:val="52"/>
  </w:num>
  <w:num w:numId="50">
    <w:abstractNumId w:val="18"/>
  </w:num>
  <w:num w:numId="51">
    <w:abstractNumId w:val="7"/>
  </w:num>
  <w:num w:numId="52">
    <w:abstractNumId w:val="22"/>
  </w:num>
  <w:num w:numId="53">
    <w:abstractNumId w:val="28"/>
  </w:num>
  <w:num w:numId="54">
    <w:abstractNumId w:val="6"/>
  </w:num>
  <w:num w:numId="55">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8"/>
    <w:rsid w:val="00005305"/>
    <w:rsid w:val="00005387"/>
    <w:rsid w:val="00006719"/>
    <w:rsid w:val="0000749D"/>
    <w:rsid w:val="00007B56"/>
    <w:rsid w:val="00012ECB"/>
    <w:rsid w:val="000148A7"/>
    <w:rsid w:val="000154AA"/>
    <w:rsid w:val="0001616C"/>
    <w:rsid w:val="000169E9"/>
    <w:rsid w:val="0002185F"/>
    <w:rsid w:val="0002298D"/>
    <w:rsid w:val="0002365A"/>
    <w:rsid w:val="00026D9F"/>
    <w:rsid w:val="00032F35"/>
    <w:rsid w:val="0003597C"/>
    <w:rsid w:val="00041185"/>
    <w:rsid w:val="000475A1"/>
    <w:rsid w:val="00053C3C"/>
    <w:rsid w:val="000572D6"/>
    <w:rsid w:val="00061583"/>
    <w:rsid w:val="00065688"/>
    <w:rsid w:val="0006616F"/>
    <w:rsid w:val="0006740A"/>
    <w:rsid w:val="00074B74"/>
    <w:rsid w:val="00080520"/>
    <w:rsid w:val="00082D01"/>
    <w:rsid w:val="00082FB9"/>
    <w:rsid w:val="000947B4"/>
    <w:rsid w:val="00095947"/>
    <w:rsid w:val="000A0F80"/>
    <w:rsid w:val="000A29E8"/>
    <w:rsid w:val="000A3996"/>
    <w:rsid w:val="000A7AA0"/>
    <w:rsid w:val="000B19D5"/>
    <w:rsid w:val="000B28F4"/>
    <w:rsid w:val="000B4A42"/>
    <w:rsid w:val="000B53F9"/>
    <w:rsid w:val="000B54FB"/>
    <w:rsid w:val="000B6B67"/>
    <w:rsid w:val="000C113D"/>
    <w:rsid w:val="000C29CD"/>
    <w:rsid w:val="000C344B"/>
    <w:rsid w:val="000C4D3B"/>
    <w:rsid w:val="000C70DE"/>
    <w:rsid w:val="000D49E9"/>
    <w:rsid w:val="000D68B4"/>
    <w:rsid w:val="000E0900"/>
    <w:rsid w:val="000E45B5"/>
    <w:rsid w:val="000F04A8"/>
    <w:rsid w:val="000F12B6"/>
    <w:rsid w:val="000F205C"/>
    <w:rsid w:val="000F2CA8"/>
    <w:rsid w:val="000F3274"/>
    <w:rsid w:val="000F4400"/>
    <w:rsid w:val="000F5777"/>
    <w:rsid w:val="001035D6"/>
    <w:rsid w:val="00104CE7"/>
    <w:rsid w:val="00105A65"/>
    <w:rsid w:val="00105D90"/>
    <w:rsid w:val="0011773C"/>
    <w:rsid w:val="00117EC7"/>
    <w:rsid w:val="00121698"/>
    <w:rsid w:val="00123D7B"/>
    <w:rsid w:val="00125A3E"/>
    <w:rsid w:val="00126603"/>
    <w:rsid w:val="001322C5"/>
    <w:rsid w:val="00135597"/>
    <w:rsid w:val="001359F2"/>
    <w:rsid w:val="00140135"/>
    <w:rsid w:val="00140144"/>
    <w:rsid w:val="001519F3"/>
    <w:rsid w:val="0016518A"/>
    <w:rsid w:val="0016603A"/>
    <w:rsid w:val="00166536"/>
    <w:rsid w:val="00170F3D"/>
    <w:rsid w:val="001724C4"/>
    <w:rsid w:val="00172914"/>
    <w:rsid w:val="00172A3E"/>
    <w:rsid w:val="00173255"/>
    <w:rsid w:val="00174B47"/>
    <w:rsid w:val="00174E7A"/>
    <w:rsid w:val="00181A06"/>
    <w:rsid w:val="0018776B"/>
    <w:rsid w:val="0018777F"/>
    <w:rsid w:val="00187BF3"/>
    <w:rsid w:val="001918F9"/>
    <w:rsid w:val="00193D39"/>
    <w:rsid w:val="001A1EAD"/>
    <w:rsid w:val="001A55DC"/>
    <w:rsid w:val="001B0323"/>
    <w:rsid w:val="001B2459"/>
    <w:rsid w:val="001B5A3D"/>
    <w:rsid w:val="001B6072"/>
    <w:rsid w:val="001B7E2D"/>
    <w:rsid w:val="001C08AC"/>
    <w:rsid w:val="001D0280"/>
    <w:rsid w:val="001D2DA9"/>
    <w:rsid w:val="001E2823"/>
    <w:rsid w:val="001E2C1D"/>
    <w:rsid w:val="001E5A75"/>
    <w:rsid w:val="001E6C53"/>
    <w:rsid w:val="001F0977"/>
    <w:rsid w:val="001F3065"/>
    <w:rsid w:val="001F5D8F"/>
    <w:rsid w:val="001F610A"/>
    <w:rsid w:val="001F63D3"/>
    <w:rsid w:val="001F64AE"/>
    <w:rsid w:val="001F6690"/>
    <w:rsid w:val="001F6795"/>
    <w:rsid w:val="00201D7F"/>
    <w:rsid w:val="00205E05"/>
    <w:rsid w:val="00214043"/>
    <w:rsid w:val="00214C08"/>
    <w:rsid w:val="00216767"/>
    <w:rsid w:val="0022153A"/>
    <w:rsid w:val="00223E3F"/>
    <w:rsid w:val="002275B9"/>
    <w:rsid w:val="00235BC8"/>
    <w:rsid w:val="00242213"/>
    <w:rsid w:val="0024334B"/>
    <w:rsid w:val="00247025"/>
    <w:rsid w:val="002478E9"/>
    <w:rsid w:val="002507BD"/>
    <w:rsid w:val="00250E40"/>
    <w:rsid w:val="00251FA4"/>
    <w:rsid w:val="00254D96"/>
    <w:rsid w:val="00255D0E"/>
    <w:rsid w:val="00262CBC"/>
    <w:rsid w:val="00263959"/>
    <w:rsid w:val="00264A28"/>
    <w:rsid w:val="0027239B"/>
    <w:rsid w:val="00272736"/>
    <w:rsid w:val="00282DEC"/>
    <w:rsid w:val="00284063"/>
    <w:rsid w:val="00284D01"/>
    <w:rsid w:val="0028556D"/>
    <w:rsid w:val="00291685"/>
    <w:rsid w:val="002A43C4"/>
    <w:rsid w:val="002A4654"/>
    <w:rsid w:val="002A5164"/>
    <w:rsid w:val="002A5EF6"/>
    <w:rsid w:val="002B01AA"/>
    <w:rsid w:val="002B16FD"/>
    <w:rsid w:val="002B24B8"/>
    <w:rsid w:val="002B5D6A"/>
    <w:rsid w:val="002B7160"/>
    <w:rsid w:val="002B7172"/>
    <w:rsid w:val="002B735D"/>
    <w:rsid w:val="002C69B7"/>
    <w:rsid w:val="002D01A4"/>
    <w:rsid w:val="002D62C2"/>
    <w:rsid w:val="002D6C21"/>
    <w:rsid w:val="002E0081"/>
    <w:rsid w:val="002E16E5"/>
    <w:rsid w:val="002E49E9"/>
    <w:rsid w:val="002E6022"/>
    <w:rsid w:val="002F24AA"/>
    <w:rsid w:val="0030134B"/>
    <w:rsid w:val="00301477"/>
    <w:rsid w:val="00302C06"/>
    <w:rsid w:val="003069C1"/>
    <w:rsid w:val="0031169A"/>
    <w:rsid w:val="00311AF1"/>
    <w:rsid w:val="00313D24"/>
    <w:rsid w:val="00314EE3"/>
    <w:rsid w:val="00314F24"/>
    <w:rsid w:val="00315C19"/>
    <w:rsid w:val="00325944"/>
    <w:rsid w:val="003259D0"/>
    <w:rsid w:val="00331144"/>
    <w:rsid w:val="00331E4A"/>
    <w:rsid w:val="0033206E"/>
    <w:rsid w:val="00335FFE"/>
    <w:rsid w:val="00340EA3"/>
    <w:rsid w:val="00342065"/>
    <w:rsid w:val="00342EFE"/>
    <w:rsid w:val="0034305D"/>
    <w:rsid w:val="00347BFB"/>
    <w:rsid w:val="0035139A"/>
    <w:rsid w:val="00352F6C"/>
    <w:rsid w:val="003538D4"/>
    <w:rsid w:val="00353B95"/>
    <w:rsid w:val="00356419"/>
    <w:rsid w:val="003619D7"/>
    <w:rsid w:val="003658B5"/>
    <w:rsid w:val="00366311"/>
    <w:rsid w:val="00366691"/>
    <w:rsid w:val="00371A47"/>
    <w:rsid w:val="00373F22"/>
    <w:rsid w:val="003804C1"/>
    <w:rsid w:val="00380F97"/>
    <w:rsid w:val="003960DB"/>
    <w:rsid w:val="003A4E78"/>
    <w:rsid w:val="003A673A"/>
    <w:rsid w:val="003B0F6C"/>
    <w:rsid w:val="003B1A77"/>
    <w:rsid w:val="003B5606"/>
    <w:rsid w:val="003B6241"/>
    <w:rsid w:val="003C0646"/>
    <w:rsid w:val="003C2657"/>
    <w:rsid w:val="003C3DE9"/>
    <w:rsid w:val="003D1CFD"/>
    <w:rsid w:val="003D2455"/>
    <w:rsid w:val="003D5B9E"/>
    <w:rsid w:val="003D7007"/>
    <w:rsid w:val="003E1782"/>
    <w:rsid w:val="003E6215"/>
    <w:rsid w:val="003F7B4C"/>
    <w:rsid w:val="0040308B"/>
    <w:rsid w:val="00403DD4"/>
    <w:rsid w:val="00405D59"/>
    <w:rsid w:val="00406A31"/>
    <w:rsid w:val="00407A89"/>
    <w:rsid w:val="00414909"/>
    <w:rsid w:val="00415567"/>
    <w:rsid w:val="00416639"/>
    <w:rsid w:val="00421466"/>
    <w:rsid w:val="00422ED0"/>
    <w:rsid w:val="00427681"/>
    <w:rsid w:val="00427FEE"/>
    <w:rsid w:val="00434697"/>
    <w:rsid w:val="0043729D"/>
    <w:rsid w:val="004378CE"/>
    <w:rsid w:val="004412F8"/>
    <w:rsid w:val="00442979"/>
    <w:rsid w:val="00443CFF"/>
    <w:rsid w:val="004440F3"/>
    <w:rsid w:val="00445C59"/>
    <w:rsid w:val="00446E51"/>
    <w:rsid w:val="00447D79"/>
    <w:rsid w:val="00450DD4"/>
    <w:rsid w:val="004548C0"/>
    <w:rsid w:val="00462358"/>
    <w:rsid w:val="004629B1"/>
    <w:rsid w:val="00462DC6"/>
    <w:rsid w:val="00463C32"/>
    <w:rsid w:val="00464444"/>
    <w:rsid w:val="00466E61"/>
    <w:rsid w:val="00472131"/>
    <w:rsid w:val="00472411"/>
    <w:rsid w:val="004739BD"/>
    <w:rsid w:val="00475463"/>
    <w:rsid w:val="004779E5"/>
    <w:rsid w:val="004806AE"/>
    <w:rsid w:val="00484FCC"/>
    <w:rsid w:val="00485A3D"/>
    <w:rsid w:val="00487C8A"/>
    <w:rsid w:val="00490A31"/>
    <w:rsid w:val="00490FE0"/>
    <w:rsid w:val="004965EA"/>
    <w:rsid w:val="004A0D74"/>
    <w:rsid w:val="004A1488"/>
    <w:rsid w:val="004A4D58"/>
    <w:rsid w:val="004A7F48"/>
    <w:rsid w:val="004B1BA3"/>
    <w:rsid w:val="004B2126"/>
    <w:rsid w:val="004B23CB"/>
    <w:rsid w:val="004B70A9"/>
    <w:rsid w:val="004B775A"/>
    <w:rsid w:val="004B7CA7"/>
    <w:rsid w:val="004C38E0"/>
    <w:rsid w:val="004C4B04"/>
    <w:rsid w:val="004C53A8"/>
    <w:rsid w:val="004C667D"/>
    <w:rsid w:val="004C6FBF"/>
    <w:rsid w:val="004C74F6"/>
    <w:rsid w:val="004E0358"/>
    <w:rsid w:val="004E5474"/>
    <w:rsid w:val="004F25B5"/>
    <w:rsid w:val="004F2FC5"/>
    <w:rsid w:val="004F34BE"/>
    <w:rsid w:val="004F6DC8"/>
    <w:rsid w:val="004F7CD6"/>
    <w:rsid w:val="0050004A"/>
    <w:rsid w:val="005020A5"/>
    <w:rsid w:val="00506333"/>
    <w:rsid w:val="00507049"/>
    <w:rsid w:val="00507CF7"/>
    <w:rsid w:val="00507D58"/>
    <w:rsid w:val="00507F81"/>
    <w:rsid w:val="005104B1"/>
    <w:rsid w:val="0051151F"/>
    <w:rsid w:val="005133EE"/>
    <w:rsid w:val="00514E03"/>
    <w:rsid w:val="00521063"/>
    <w:rsid w:val="00522F9E"/>
    <w:rsid w:val="00524481"/>
    <w:rsid w:val="00526C8E"/>
    <w:rsid w:val="0053108A"/>
    <w:rsid w:val="00532918"/>
    <w:rsid w:val="00533C7E"/>
    <w:rsid w:val="00533FCD"/>
    <w:rsid w:val="005423E5"/>
    <w:rsid w:val="00551C70"/>
    <w:rsid w:val="0055228C"/>
    <w:rsid w:val="0055379C"/>
    <w:rsid w:val="00553991"/>
    <w:rsid w:val="005547ED"/>
    <w:rsid w:val="00557FFB"/>
    <w:rsid w:val="005618BE"/>
    <w:rsid w:val="00563087"/>
    <w:rsid w:val="00563140"/>
    <w:rsid w:val="00566CA5"/>
    <w:rsid w:val="00567013"/>
    <w:rsid w:val="0056756A"/>
    <w:rsid w:val="00567DB9"/>
    <w:rsid w:val="00575C1A"/>
    <w:rsid w:val="00576969"/>
    <w:rsid w:val="0057722A"/>
    <w:rsid w:val="005837CB"/>
    <w:rsid w:val="00584857"/>
    <w:rsid w:val="00585A99"/>
    <w:rsid w:val="0058631A"/>
    <w:rsid w:val="00587099"/>
    <w:rsid w:val="00590DB4"/>
    <w:rsid w:val="00590E5E"/>
    <w:rsid w:val="005A0708"/>
    <w:rsid w:val="005A0795"/>
    <w:rsid w:val="005A07B7"/>
    <w:rsid w:val="005A1F82"/>
    <w:rsid w:val="005A2726"/>
    <w:rsid w:val="005A2AB3"/>
    <w:rsid w:val="005A2F78"/>
    <w:rsid w:val="005A3ACC"/>
    <w:rsid w:val="005A60DC"/>
    <w:rsid w:val="005A75F1"/>
    <w:rsid w:val="005B042B"/>
    <w:rsid w:val="005B0B92"/>
    <w:rsid w:val="005B193E"/>
    <w:rsid w:val="005B2AEB"/>
    <w:rsid w:val="005B4BDF"/>
    <w:rsid w:val="005C15ED"/>
    <w:rsid w:val="005D278C"/>
    <w:rsid w:val="005D2838"/>
    <w:rsid w:val="005D2897"/>
    <w:rsid w:val="005D63E0"/>
    <w:rsid w:val="005E3851"/>
    <w:rsid w:val="005E5146"/>
    <w:rsid w:val="005F1376"/>
    <w:rsid w:val="005F328F"/>
    <w:rsid w:val="00601972"/>
    <w:rsid w:val="00603D8D"/>
    <w:rsid w:val="00605270"/>
    <w:rsid w:val="00605AD3"/>
    <w:rsid w:val="006067BD"/>
    <w:rsid w:val="00610EE5"/>
    <w:rsid w:val="006110D2"/>
    <w:rsid w:val="00612F73"/>
    <w:rsid w:val="00621793"/>
    <w:rsid w:val="006229B3"/>
    <w:rsid w:val="00622A3A"/>
    <w:rsid w:val="006240C7"/>
    <w:rsid w:val="00625F2E"/>
    <w:rsid w:val="00626845"/>
    <w:rsid w:val="0063248D"/>
    <w:rsid w:val="00632E1E"/>
    <w:rsid w:val="0063668E"/>
    <w:rsid w:val="00636920"/>
    <w:rsid w:val="0064354D"/>
    <w:rsid w:val="006517D3"/>
    <w:rsid w:val="00653E04"/>
    <w:rsid w:val="006550CC"/>
    <w:rsid w:val="00655C22"/>
    <w:rsid w:val="006574B4"/>
    <w:rsid w:val="006605E1"/>
    <w:rsid w:val="00660B64"/>
    <w:rsid w:val="0066267A"/>
    <w:rsid w:val="0066322F"/>
    <w:rsid w:val="00670805"/>
    <w:rsid w:val="0067081B"/>
    <w:rsid w:val="00672998"/>
    <w:rsid w:val="00673ECC"/>
    <w:rsid w:val="00675EF0"/>
    <w:rsid w:val="00675F99"/>
    <w:rsid w:val="0067706C"/>
    <w:rsid w:val="006801AA"/>
    <w:rsid w:val="00685F45"/>
    <w:rsid w:val="00687FAC"/>
    <w:rsid w:val="00690F06"/>
    <w:rsid w:val="00693C94"/>
    <w:rsid w:val="0069500C"/>
    <w:rsid w:val="006A4C81"/>
    <w:rsid w:val="006A529B"/>
    <w:rsid w:val="006B0128"/>
    <w:rsid w:val="006B1E07"/>
    <w:rsid w:val="006B7F7E"/>
    <w:rsid w:val="006C0A79"/>
    <w:rsid w:val="006C567C"/>
    <w:rsid w:val="006C5ED8"/>
    <w:rsid w:val="006D0E0F"/>
    <w:rsid w:val="006D2A5E"/>
    <w:rsid w:val="006D382A"/>
    <w:rsid w:val="006D3FC5"/>
    <w:rsid w:val="006D642B"/>
    <w:rsid w:val="006E08DB"/>
    <w:rsid w:val="006E0AE1"/>
    <w:rsid w:val="006E253C"/>
    <w:rsid w:val="006E6849"/>
    <w:rsid w:val="006E7092"/>
    <w:rsid w:val="006E7208"/>
    <w:rsid w:val="006F0CBC"/>
    <w:rsid w:val="006F13EE"/>
    <w:rsid w:val="006F1FC8"/>
    <w:rsid w:val="006F5DBA"/>
    <w:rsid w:val="006F6EA9"/>
    <w:rsid w:val="006F7F3E"/>
    <w:rsid w:val="00703387"/>
    <w:rsid w:val="00704E71"/>
    <w:rsid w:val="00705258"/>
    <w:rsid w:val="007055FE"/>
    <w:rsid w:val="007064B4"/>
    <w:rsid w:val="007070FF"/>
    <w:rsid w:val="00711F6B"/>
    <w:rsid w:val="0071510E"/>
    <w:rsid w:val="0071610E"/>
    <w:rsid w:val="007210AF"/>
    <w:rsid w:val="00721252"/>
    <w:rsid w:val="00730EF6"/>
    <w:rsid w:val="007424B5"/>
    <w:rsid w:val="00743A10"/>
    <w:rsid w:val="00747094"/>
    <w:rsid w:val="00747F96"/>
    <w:rsid w:val="00751755"/>
    <w:rsid w:val="0075257D"/>
    <w:rsid w:val="00752E04"/>
    <w:rsid w:val="007544EE"/>
    <w:rsid w:val="00756CD1"/>
    <w:rsid w:val="00757E91"/>
    <w:rsid w:val="007646F8"/>
    <w:rsid w:val="00766861"/>
    <w:rsid w:val="00767395"/>
    <w:rsid w:val="00773AF8"/>
    <w:rsid w:val="00775FBF"/>
    <w:rsid w:val="0077606D"/>
    <w:rsid w:val="00777306"/>
    <w:rsid w:val="007774FB"/>
    <w:rsid w:val="0078038E"/>
    <w:rsid w:val="00780944"/>
    <w:rsid w:val="00780D72"/>
    <w:rsid w:val="00780DAD"/>
    <w:rsid w:val="00780F7E"/>
    <w:rsid w:val="00785137"/>
    <w:rsid w:val="007866A0"/>
    <w:rsid w:val="007868F0"/>
    <w:rsid w:val="00786FB3"/>
    <w:rsid w:val="007954FA"/>
    <w:rsid w:val="007963A2"/>
    <w:rsid w:val="007A1EDB"/>
    <w:rsid w:val="007A2DA7"/>
    <w:rsid w:val="007B03F4"/>
    <w:rsid w:val="007B2176"/>
    <w:rsid w:val="007B5801"/>
    <w:rsid w:val="007C02EB"/>
    <w:rsid w:val="007C2CBB"/>
    <w:rsid w:val="007C2E4A"/>
    <w:rsid w:val="007C54C0"/>
    <w:rsid w:val="007C655F"/>
    <w:rsid w:val="007D75F8"/>
    <w:rsid w:val="007E10B7"/>
    <w:rsid w:val="007E4BD0"/>
    <w:rsid w:val="007F250F"/>
    <w:rsid w:val="007F3C85"/>
    <w:rsid w:val="007F4B56"/>
    <w:rsid w:val="007F7B02"/>
    <w:rsid w:val="00803687"/>
    <w:rsid w:val="00804D82"/>
    <w:rsid w:val="008062A2"/>
    <w:rsid w:val="00810222"/>
    <w:rsid w:val="00812F43"/>
    <w:rsid w:val="00816D4B"/>
    <w:rsid w:val="00822764"/>
    <w:rsid w:val="008247CB"/>
    <w:rsid w:val="00825BBF"/>
    <w:rsid w:val="00825C82"/>
    <w:rsid w:val="00830BBC"/>
    <w:rsid w:val="00831B65"/>
    <w:rsid w:val="0083201F"/>
    <w:rsid w:val="00832D4E"/>
    <w:rsid w:val="00833FB4"/>
    <w:rsid w:val="0083496B"/>
    <w:rsid w:val="0083544E"/>
    <w:rsid w:val="00840480"/>
    <w:rsid w:val="00842791"/>
    <w:rsid w:val="00843077"/>
    <w:rsid w:val="00847E89"/>
    <w:rsid w:val="00854EB1"/>
    <w:rsid w:val="00860FE3"/>
    <w:rsid w:val="0086736A"/>
    <w:rsid w:val="00870286"/>
    <w:rsid w:val="00874EC4"/>
    <w:rsid w:val="00876038"/>
    <w:rsid w:val="00880E4F"/>
    <w:rsid w:val="00880E7D"/>
    <w:rsid w:val="00880FBE"/>
    <w:rsid w:val="008816E2"/>
    <w:rsid w:val="0088581F"/>
    <w:rsid w:val="008866EE"/>
    <w:rsid w:val="00887241"/>
    <w:rsid w:val="008872F1"/>
    <w:rsid w:val="00894A49"/>
    <w:rsid w:val="00895365"/>
    <w:rsid w:val="00897128"/>
    <w:rsid w:val="00897A88"/>
    <w:rsid w:val="008B7EE1"/>
    <w:rsid w:val="008C127A"/>
    <w:rsid w:val="008C1761"/>
    <w:rsid w:val="008C1BEB"/>
    <w:rsid w:val="008D112D"/>
    <w:rsid w:val="008D35C9"/>
    <w:rsid w:val="008D4D05"/>
    <w:rsid w:val="008D6E8D"/>
    <w:rsid w:val="008E1601"/>
    <w:rsid w:val="008E5C41"/>
    <w:rsid w:val="008F100F"/>
    <w:rsid w:val="008F2434"/>
    <w:rsid w:val="008F2E01"/>
    <w:rsid w:val="008F3BDE"/>
    <w:rsid w:val="008F475A"/>
    <w:rsid w:val="008F6C85"/>
    <w:rsid w:val="008F7418"/>
    <w:rsid w:val="00902CAC"/>
    <w:rsid w:val="00906156"/>
    <w:rsid w:val="009133D6"/>
    <w:rsid w:val="009167FC"/>
    <w:rsid w:val="00922457"/>
    <w:rsid w:val="00922FC9"/>
    <w:rsid w:val="009242EB"/>
    <w:rsid w:val="00925E37"/>
    <w:rsid w:val="00927CFB"/>
    <w:rsid w:val="00941DC6"/>
    <w:rsid w:val="009469D9"/>
    <w:rsid w:val="009519DD"/>
    <w:rsid w:val="00954345"/>
    <w:rsid w:val="009549BA"/>
    <w:rsid w:val="00955636"/>
    <w:rsid w:val="009560B2"/>
    <w:rsid w:val="009651A3"/>
    <w:rsid w:val="00972304"/>
    <w:rsid w:val="00976053"/>
    <w:rsid w:val="0098455B"/>
    <w:rsid w:val="00987E2A"/>
    <w:rsid w:val="009913B7"/>
    <w:rsid w:val="009949AB"/>
    <w:rsid w:val="009949E1"/>
    <w:rsid w:val="00994C0B"/>
    <w:rsid w:val="00994C13"/>
    <w:rsid w:val="009A1BDC"/>
    <w:rsid w:val="009A2063"/>
    <w:rsid w:val="009A34A4"/>
    <w:rsid w:val="009A363A"/>
    <w:rsid w:val="009A683A"/>
    <w:rsid w:val="009B0C28"/>
    <w:rsid w:val="009B3AFC"/>
    <w:rsid w:val="009B5696"/>
    <w:rsid w:val="009B5B63"/>
    <w:rsid w:val="009B6C63"/>
    <w:rsid w:val="009B76BD"/>
    <w:rsid w:val="009C116C"/>
    <w:rsid w:val="009C3AE8"/>
    <w:rsid w:val="009C432B"/>
    <w:rsid w:val="009C6153"/>
    <w:rsid w:val="009C66BC"/>
    <w:rsid w:val="009D0354"/>
    <w:rsid w:val="009D68B1"/>
    <w:rsid w:val="009E0487"/>
    <w:rsid w:val="009E086C"/>
    <w:rsid w:val="009E32A5"/>
    <w:rsid w:val="009E3F4C"/>
    <w:rsid w:val="009E408C"/>
    <w:rsid w:val="009E5200"/>
    <w:rsid w:val="009E5FA1"/>
    <w:rsid w:val="009F1861"/>
    <w:rsid w:val="00A00D73"/>
    <w:rsid w:val="00A019F6"/>
    <w:rsid w:val="00A05525"/>
    <w:rsid w:val="00A059A3"/>
    <w:rsid w:val="00A066C2"/>
    <w:rsid w:val="00A117A5"/>
    <w:rsid w:val="00A118E5"/>
    <w:rsid w:val="00A1302C"/>
    <w:rsid w:val="00A1476D"/>
    <w:rsid w:val="00A156C6"/>
    <w:rsid w:val="00A177B3"/>
    <w:rsid w:val="00A20272"/>
    <w:rsid w:val="00A2098D"/>
    <w:rsid w:val="00A213AB"/>
    <w:rsid w:val="00A23538"/>
    <w:rsid w:val="00A240CE"/>
    <w:rsid w:val="00A2786D"/>
    <w:rsid w:val="00A32472"/>
    <w:rsid w:val="00A32595"/>
    <w:rsid w:val="00A33299"/>
    <w:rsid w:val="00A344E8"/>
    <w:rsid w:val="00A34DFE"/>
    <w:rsid w:val="00A40E05"/>
    <w:rsid w:val="00A41778"/>
    <w:rsid w:val="00A42BA3"/>
    <w:rsid w:val="00A46C0B"/>
    <w:rsid w:val="00A51228"/>
    <w:rsid w:val="00A51BAA"/>
    <w:rsid w:val="00A54A9A"/>
    <w:rsid w:val="00A5587A"/>
    <w:rsid w:val="00A55F58"/>
    <w:rsid w:val="00A57892"/>
    <w:rsid w:val="00A616C3"/>
    <w:rsid w:val="00A65180"/>
    <w:rsid w:val="00A664B8"/>
    <w:rsid w:val="00A71354"/>
    <w:rsid w:val="00A730CA"/>
    <w:rsid w:val="00A73606"/>
    <w:rsid w:val="00A75D2D"/>
    <w:rsid w:val="00A82EBA"/>
    <w:rsid w:val="00A87259"/>
    <w:rsid w:val="00A91827"/>
    <w:rsid w:val="00A926EC"/>
    <w:rsid w:val="00A9383E"/>
    <w:rsid w:val="00A939B4"/>
    <w:rsid w:val="00A93FCE"/>
    <w:rsid w:val="00AA6A95"/>
    <w:rsid w:val="00AB2024"/>
    <w:rsid w:val="00AB22F3"/>
    <w:rsid w:val="00AB4795"/>
    <w:rsid w:val="00AB637C"/>
    <w:rsid w:val="00AB6E87"/>
    <w:rsid w:val="00AC0147"/>
    <w:rsid w:val="00AC045C"/>
    <w:rsid w:val="00AC0EF6"/>
    <w:rsid w:val="00AC1705"/>
    <w:rsid w:val="00AC5132"/>
    <w:rsid w:val="00AC6A6E"/>
    <w:rsid w:val="00AE2617"/>
    <w:rsid w:val="00AE7A6A"/>
    <w:rsid w:val="00AF601A"/>
    <w:rsid w:val="00AF6CCE"/>
    <w:rsid w:val="00B00E3D"/>
    <w:rsid w:val="00B11A0D"/>
    <w:rsid w:val="00B15DDE"/>
    <w:rsid w:val="00B23272"/>
    <w:rsid w:val="00B30E15"/>
    <w:rsid w:val="00B323B8"/>
    <w:rsid w:val="00B33BC1"/>
    <w:rsid w:val="00B35CDB"/>
    <w:rsid w:val="00B40EE6"/>
    <w:rsid w:val="00B419FD"/>
    <w:rsid w:val="00B42CE8"/>
    <w:rsid w:val="00B43331"/>
    <w:rsid w:val="00B443C9"/>
    <w:rsid w:val="00B44957"/>
    <w:rsid w:val="00B461F9"/>
    <w:rsid w:val="00B478F6"/>
    <w:rsid w:val="00B516F1"/>
    <w:rsid w:val="00B54432"/>
    <w:rsid w:val="00B544AA"/>
    <w:rsid w:val="00B56C0F"/>
    <w:rsid w:val="00B64136"/>
    <w:rsid w:val="00B64CC9"/>
    <w:rsid w:val="00B65977"/>
    <w:rsid w:val="00B670A7"/>
    <w:rsid w:val="00B6737B"/>
    <w:rsid w:val="00B7089B"/>
    <w:rsid w:val="00B76CCF"/>
    <w:rsid w:val="00B77F98"/>
    <w:rsid w:val="00B8054C"/>
    <w:rsid w:val="00B8066C"/>
    <w:rsid w:val="00B81529"/>
    <w:rsid w:val="00B8624D"/>
    <w:rsid w:val="00B87B2B"/>
    <w:rsid w:val="00B949C4"/>
    <w:rsid w:val="00B950AB"/>
    <w:rsid w:val="00B9553A"/>
    <w:rsid w:val="00BA1078"/>
    <w:rsid w:val="00BA22E2"/>
    <w:rsid w:val="00BA3F7B"/>
    <w:rsid w:val="00BA6CB0"/>
    <w:rsid w:val="00BB179D"/>
    <w:rsid w:val="00BB30E7"/>
    <w:rsid w:val="00BB39F6"/>
    <w:rsid w:val="00BB3D1D"/>
    <w:rsid w:val="00BD31DB"/>
    <w:rsid w:val="00BD7752"/>
    <w:rsid w:val="00BE4DA1"/>
    <w:rsid w:val="00BE7944"/>
    <w:rsid w:val="00BE7B2D"/>
    <w:rsid w:val="00BF0DAF"/>
    <w:rsid w:val="00BF470E"/>
    <w:rsid w:val="00BF79E9"/>
    <w:rsid w:val="00C05D6E"/>
    <w:rsid w:val="00C0627C"/>
    <w:rsid w:val="00C06B88"/>
    <w:rsid w:val="00C06CB7"/>
    <w:rsid w:val="00C11A69"/>
    <w:rsid w:val="00C13CB4"/>
    <w:rsid w:val="00C15C22"/>
    <w:rsid w:val="00C25436"/>
    <w:rsid w:val="00C276FF"/>
    <w:rsid w:val="00C32E81"/>
    <w:rsid w:val="00C33490"/>
    <w:rsid w:val="00C3655E"/>
    <w:rsid w:val="00C365A8"/>
    <w:rsid w:val="00C40996"/>
    <w:rsid w:val="00C40D89"/>
    <w:rsid w:val="00C421CD"/>
    <w:rsid w:val="00C4241F"/>
    <w:rsid w:val="00C42728"/>
    <w:rsid w:val="00C47552"/>
    <w:rsid w:val="00C50ABC"/>
    <w:rsid w:val="00C545FB"/>
    <w:rsid w:val="00C55562"/>
    <w:rsid w:val="00C57930"/>
    <w:rsid w:val="00C57FE1"/>
    <w:rsid w:val="00C63392"/>
    <w:rsid w:val="00C64C9D"/>
    <w:rsid w:val="00C67558"/>
    <w:rsid w:val="00C72F00"/>
    <w:rsid w:val="00C74567"/>
    <w:rsid w:val="00C7509A"/>
    <w:rsid w:val="00C76CD5"/>
    <w:rsid w:val="00C85F69"/>
    <w:rsid w:val="00C87E4F"/>
    <w:rsid w:val="00C90D49"/>
    <w:rsid w:val="00C90E01"/>
    <w:rsid w:val="00C93155"/>
    <w:rsid w:val="00C93A93"/>
    <w:rsid w:val="00C95AAE"/>
    <w:rsid w:val="00CA11F5"/>
    <w:rsid w:val="00CA345E"/>
    <w:rsid w:val="00CA40EB"/>
    <w:rsid w:val="00CA4E71"/>
    <w:rsid w:val="00CA5865"/>
    <w:rsid w:val="00CB0248"/>
    <w:rsid w:val="00CB0435"/>
    <w:rsid w:val="00CB22CC"/>
    <w:rsid w:val="00CB235F"/>
    <w:rsid w:val="00CB3F05"/>
    <w:rsid w:val="00CC0BEE"/>
    <w:rsid w:val="00CC2790"/>
    <w:rsid w:val="00CC5F1E"/>
    <w:rsid w:val="00CC69B5"/>
    <w:rsid w:val="00CD1899"/>
    <w:rsid w:val="00CD254C"/>
    <w:rsid w:val="00CD43C4"/>
    <w:rsid w:val="00CE0806"/>
    <w:rsid w:val="00CE0E39"/>
    <w:rsid w:val="00CE31A4"/>
    <w:rsid w:val="00CE3F49"/>
    <w:rsid w:val="00CE5505"/>
    <w:rsid w:val="00CE61E8"/>
    <w:rsid w:val="00CF0C59"/>
    <w:rsid w:val="00CF13CF"/>
    <w:rsid w:val="00CF20F8"/>
    <w:rsid w:val="00CF354D"/>
    <w:rsid w:val="00CF3AD8"/>
    <w:rsid w:val="00D07070"/>
    <w:rsid w:val="00D10A6E"/>
    <w:rsid w:val="00D11E56"/>
    <w:rsid w:val="00D12CCB"/>
    <w:rsid w:val="00D16350"/>
    <w:rsid w:val="00D16364"/>
    <w:rsid w:val="00D17AA2"/>
    <w:rsid w:val="00D203BA"/>
    <w:rsid w:val="00D265F0"/>
    <w:rsid w:val="00D2751A"/>
    <w:rsid w:val="00D27F98"/>
    <w:rsid w:val="00D3135F"/>
    <w:rsid w:val="00D31D49"/>
    <w:rsid w:val="00D37159"/>
    <w:rsid w:val="00D372C4"/>
    <w:rsid w:val="00D3747A"/>
    <w:rsid w:val="00D4022F"/>
    <w:rsid w:val="00D4357C"/>
    <w:rsid w:val="00D44232"/>
    <w:rsid w:val="00D5484B"/>
    <w:rsid w:val="00D55E75"/>
    <w:rsid w:val="00D62EFE"/>
    <w:rsid w:val="00D632C4"/>
    <w:rsid w:val="00D64795"/>
    <w:rsid w:val="00D70CCA"/>
    <w:rsid w:val="00D71A47"/>
    <w:rsid w:val="00D71C8F"/>
    <w:rsid w:val="00D738B8"/>
    <w:rsid w:val="00D74841"/>
    <w:rsid w:val="00D74FA2"/>
    <w:rsid w:val="00D764A6"/>
    <w:rsid w:val="00D80C1E"/>
    <w:rsid w:val="00D82BA3"/>
    <w:rsid w:val="00D840A7"/>
    <w:rsid w:val="00D84343"/>
    <w:rsid w:val="00D846F5"/>
    <w:rsid w:val="00D84BB7"/>
    <w:rsid w:val="00D903E7"/>
    <w:rsid w:val="00DA0862"/>
    <w:rsid w:val="00DA180B"/>
    <w:rsid w:val="00DB50FD"/>
    <w:rsid w:val="00DC1565"/>
    <w:rsid w:val="00DC50AD"/>
    <w:rsid w:val="00DC5701"/>
    <w:rsid w:val="00DD0FD8"/>
    <w:rsid w:val="00DD73F4"/>
    <w:rsid w:val="00DE507E"/>
    <w:rsid w:val="00DE51A8"/>
    <w:rsid w:val="00E03374"/>
    <w:rsid w:val="00E03B98"/>
    <w:rsid w:val="00E03D46"/>
    <w:rsid w:val="00E069AA"/>
    <w:rsid w:val="00E10143"/>
    <w:rsid w:val="00E11EBF"/>
    <w:rsid w:val="00E145A4"/>
    <w:rsid w:val="00E147B6"/>
    <w:rsid w:val="00E24C82"/>
    <w:rsid w:val="00E25EB5"/>
    <w:rsid w:val="00E277EE"/>
    <w:rsid w:val="00E30759"/>
    <w:rsid w:val="00E32E22"/>
    <w:rsid w:val="00E34026"/>
    <w:rsid w:val="00E35355"/>
    <w:rsid w:val="00E40AA2"/>
    <w:rsid w:val="00E4545E"/>
    <w:rsid w:val="00E4634E"/>
    <w:rsid w:val="00E471D9"/>
    <w:rsid w:val="00E504AF"/>
    <w:rsid w:val="00E50D9E"/>
    <w:rsid w:val="00E510F1"/>
    <w:rsid w:val="00E526B2"/>
    <w:rsid w:val="00E52AAF"/>
    <w:rsid w:val="00E600B1"/>
    <w:rsid w:val="00E6392E"/>
    <w:rsid w:val="00E64307"/>
    <w:rsid w:val="00E64968"/>
    <w:rsid w:val="00E65590"/>
    <w:rsid w:val="00E65A3B"/>
    <w:rsid w:val="00E6791D"/>
    <w:rsid w:val="00E7138C"/>
    <w:rsid w:val="00E75120"/>
    <w:rsid w:val="00E82E07"/>
    <w:rsid w:val="00E86C65"/>
    <w:rsid w:val="00E9605F"/>
    <w:rsid w:val="00E96D65"/>
    <w:rsid w:val="00EA01C4"/>
    <w:rsid w:val="00EA2056"/>
    <w:rsid w:val="00EC088D"/>
    <w:rsid w:val="00EC60E5"/>
    <w:rsid w:val="00EC6709"/>
    <w:rsid w:val="00EC7716"/>
    <w:rsid w:val="00ED1BBB"/>
    <w:rsid w:val="00ED3F2A"/>
    <w:rsid w:val="00EE1906"/>
    <w:rsid w:val="00EE41D5"/>
    <w:rsid w:val="00EE681D"/>
    <w:rsid w:val="00EF3E51"/>
    <w:rsid w:val="00EF75B0"/>
    <w:rsid w:val="00F00628"/>
    <w:rsid w:val="00F011D7"/>
    <w:rsid w:val="00F031A3"/>
    <w:rsid w:val="00F03728"/>
    <w:rsid w:val="00F03E73"/>
    <w:rsid w:val="00F131A5"/>
    <w:rsid w:val="00F200D9"/>
    <w:rsid w:val="00F20287"/>
    <w:rsid w:val="00F20BF8"/>
    <w:rsid w:val="00F2262B"/>
    <w:rsid w:val="00F22AC3"/>
    <w:rsid w:val="00F25D3D"/>
    <w:rsid w:val="00F26600"/>
    <w:rsid w:val="00F26ABD"/>
    <w:rsid w:val="00F2716E"/>
    <w:rsid w:val="00F31931"/>
    <w:rsid w:val="00F33A60"/>
    <w:rsid w:val="00F36360"/>
    <w:rsid w:val="00F37AB2"/>
    <w:rsid w:val="00F40249"/>
    <w:rsid w:val="00F53D3E"/>
    <w:rsid w:val="00F555F9"/>
    <w:rsid w:val="00F570C2"/>
    <w:rsid w:val="00F635E0"/>
    <w:rsid w:val="00F67E14"/>
    <w:rsid w:val="00F70887"/>
    <w:rsid w:val="00F72D73"/>
    <w:rsid w:val="00F73B02"/>
    <w:rsid w:val="00F74E49"/>
    <w:rsid w:val="00F77C7D"/>
    <w:rsid w:val="00F8515F"/>
    <w:rsid w:val="00F86058"/>
    <w:rsid w:val="00F86364"/>
    <w:rsid w:val="00F9608E"/>
    <w:rsid w:val="00FA33A9"/>
    <w:rsid w:val="00FA38AC"/>
    <w:rsid w:val="00FA3C31"/>
    <w:rsid w:val="00FA48A4"/>
    <w:rsid w:val="00FA520B"/>
    <w:rsid w:val="00FA595A"/>
    <w:rsid w:val="00FB1A7A"/>
    <w:rsid w:val="00FB243C"/>
    <w:rsid w:val="00FB3112"/>
    <w:rsid w:val="00FC1023"/>
    <w:rsid w:val="00FC1667"/>
    <w:rsid w:val="00FC1924"/>
    <w:rsid w:val="00FC2E92"/>
    <w:rsid w:val="00FC45D7"/>
    <w:rsid w:val="00FC55EC"/>
    <w:rsid w:val="00FD0C04"/>
    <w:rsid w:val="00FD5820"/>
    <w:rsid w:val="00FE096F"/>
    <w:rsid w:val="00FE5504"/>
    <w:rsid w:val="00FE7AB7"/>
    <w:rsid w:val="00FF0BFA"/>
    <w:rsid w:val="00FF28C2"/>
    <w:rsid w:val="00FF3F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FA95"/>
  <w15:docId w15:val="{67792FC3-929F-41B9-AD32-81AE943F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0C1E"/>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numPr>
        <w:numId w:val="1"/>
      </w:numPr>
      <w:spacing w:before="560" w:after="120"/>
      <w:outlineLvl w:val="1"/>
    </w:pPr>
    <w:rPr>
      <w:b/>
      <w:bCs/>
      <w:iCs/>
      <w:caps/>
      <w:szCs w:val="28"/>
      <w:lang w:val="x-none"/>
    </w:rPr>
  </w:style>
  <w:style w:type="paragraph" w:styleId="Titolo3">
    <w:name w:val="heading 3"/>
    <w:basedOn w:val="Normale"/>
    <w:next w:val="Normale"/>
    <w:qFormat/>
    <w:pPr>
      <w:keepNext/>
      <w:numPr>
        <w:ilvl w:val="1"/>
        <w:numId w:val="1"/>
      </w:numPr>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rsid w:val="009560B2"/>
    <w:pPr>
      <w:tabs>
        <w:tab w:val="left" w:leader="dot" w:pos="284"/>
        <w:tab w:val="right" w:leader="dot" w:pos="9629"/>
      </w:tabs>
      <w:jc w:val="left"/>
    </w:pPr>
    <w:rPr>
      <w:bCs/>
      <w:sz w:val="20"/>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basedOn w:val="Normale"/>
    <w:uiPriority w:val="34"/>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28556D"/>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numPr>
        <w:ilvl w:val="0"/>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9B0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274946685">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e.gov.it/pagina/i-criteri-ambientali-minimi" TargetMode="External"/><Relationship Id="rId13" Type="http://schemas.openxmlformats.org/officeDocument/2006/relationships/hyperlink" Target="http://www.ivass.it/ivass/imprese_jsp/HomePage.jsp" TargetMode="External"/><Relationship Id="rId18" Type="http://schemas.openxmlformats.org/officeDocument/2006/relationships/hyperlink" Target="http://www.indicenormativa.it/norma/urn:nir:presidente.repubblica:decreto:1972-10-26;642"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ncaditalia.it/compiti/vigilanza/avvisi-pub/soggetti-non-%20legittimati/Intermediari_non_abilitati.pdf" TargetMode="External"/><Relationship Id="rId17" Type="http://schemas.openxmlformats.org/officeDocument/2006/relationships/hyperlink" Target="https://www.anticorruzione.it/-/delibera-numero-1121-del-29-dicembre-2020"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anticorruzione.it/-/portale-dei-pagamenti-di-ana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caditalia.it/compiti/vigilanza/avvisi-pub/garanzie-finanziari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anticorruzione.it/-/delibera-numero-1121-del-29-dicembre-2020" TargetMode="External"/><Relationship Id="rId23" Type="http://schemas.openxmlformats.org/officeDocument/2006/relationships/theme" Target="theme/theme1.xml"/><Relationship Id="rId10" Type="http://schemas.openxmlformats.org/officeDocument/2006/relationships/hyperlink" Target="http://www.bancaditalia.it/compiti/vigilanza/intermediari/index.html" TargetMode="External"/><Relationship Id="rId19" Type="http://schemas.openxmlformats.org/officeDocument/2006/relationships/hyperlink" Target="http://bd01.leggiditalia.it/cgi-bin/FulShow?TIPO=5&amp;NOTXT=1&amp;KEY=01LX0000107749ART67" TargetMode="External"/><Relationship Id="rId4" Type="http://schemas.openxmlformats.org/officeDocument/2006/relationships/settings" Target="settings.xml"/><Relationship Id="rId9" Type="http://schemas.openxmlformats.org/officeDocument/2006/relationships/hyperlink" Target="https://www.bosettiegatti.eu/info/norme/statali/1993_0385.htm" TargetMode="External"/><Relationship Id="rId14" Type="http://schemas.openxmlformats.org/officeDocument/2006/relationships/hyperlink" Target="https://www.anticorruzione.it/-/delibera-numero-1121-del-29-dicembre-202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3" ma:contentTypeDescription="Creare un nuovo documento." ma:contentTypeScope="" ma:versionID="e6c3e957a71e18db1e5b5023118f6438">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204db7d18fd3c1e8010e2ae9eccbe631"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54b1395-61e6-4490-b7b5-ed8699b63d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486834b8-3de0-4ca2-8118-235afe7714d7}" ma:internalName="TaxCatchAll" ma:showField="CatchAllData" ma:web="818e3c02-01f5-4b74-a803-ff9001699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6d7638-341e-4c6a-9d94-e49471d54c4a">
      <Terms xmlns="http://schemas.microsoft.com/office/infopath/2007/PartnerControls"/>
    </lcf76f155ced4ddcb4097134ff3c332f>
    <TaxCatchAll xmlns="818e3c02-01f5-4b74-a803-ff90016994ef" xsi:nil="true"/>
  </documentManagement>
</p:properties>
</file>

<file path=customXml/itemProps1.xml><?xml version="1.0" encoding="utf-8"?>
<ds:datastoreItem xmlns:ds="http://schemas.openxmlformats.org/officeDocument/2006/customXml" ds:itemID="{EF2E926E-9CCF-41BC-939B-E6D0995D8173}">
  <ds:schemaRefs>
    <ds:schemaRef ds:uri="http://schemas.openxmlformats.org/officeDocument/2006/bibliography"/>
  </ds:schemaRefs>
</ds:datastoreItem>
</file>

<file path=customXml/itemProps2.xml><?xml version="1.0" encoding="utf-8"?>
<ds:datastoreItem xmlns:ds="http://schemas.openxmlformats.org/officeDocument/2006/customXml" ds:itemID="{FE41DAC4-5252-4B7E-AB0D-8CC1F962A72A}"/>
</file>

<file path=customXml/itemProps3.xml><?xml version="1.0" encoding="utf-8"?>
<ds:datastoreItem xmlns:ds="http://schemas.openxmlformats.org/officeDocument/2006/customXml" ds:itemID="{E853B1E7-D153-4EC2-8D5D-365B1026F83A}"/>
</file>

<file path=customXml/itemProps4.xml><?xml version="1.0" encoding="utf-8"?>
<ds:datastoreItem xmlns:ds="http://schemas.openxmlformats.org/officeDocument/2006/customXml" ds:itemID="{B9B571FD-8724-410B-A96B-6AE3884093CB}"/>
</file>

<file path=docProps/app.xml><?xml version="1.0" encoding="utf-8"?>
<Properties xmlns="http://schemas.openxmlformats.org/officeDocument/2006/extended-properties" xmlns:vt="http://schemas.openxmlformats.org/officeDocument/2006/docPropsVTypes">
  <Template>Normal.dotm</Template>
  <TotalTime>1814</TotalTime>
  <Pages>18</Pages>
  <Words>28398</Words>
  <Characters>161872</Characters>
  <Application>Microsoft Office Word</Application>
  <DocSecurity>0</DocSecurity>
  <Lines>1348</Lines>
  <Paragraphs>379</Paragraphs>
  <ScaleCrop>false</ScaleCrop>
  <HeadingPairs>
    <vt:vector size="2" baseType="variant">
      <vt:variant>
        <vt:lpstr>Titolo</vt:lpstr>
      </vt:variant>
      <vt:variant>
        <vt:i4>1</vt:i4>
      </vt:variant>
    </vt:vector>
  </HeadingPairs>
  <TitlesOfParts>
    <vt:vector size="1" baseType="lpstr">
      <vt:lpstr>Codice dei contratti pubblici                                    D.lgs. 18 aprile 2016, n. 50, modificato dal d.lgs. 19 aprile 2017, n. 56</vt:lpstr>
    </vt:vector>
  </TitlesOfParts>
  <Company>AVCP</Company>
  <LinksUpToDate>false</LinksUpToDate>
  <CharactersWithSpaces>189891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dei contratti pubblici                                    D.lgs. 18 aprile 2016, n. 50, modificato dal d.lgs. 19 aprile 2017, n. 56</dc:title>
  <dc:subject>---</dc:subject>
  <dc:creator>Laura Savelli</dc:creator>
  <cp:keywords/>
  <dc:description/>
  <cp:lastModifiedBy>Pedercini Duccio Raffaele</cp:lastModifiedBy>
  <cp:revision>167</cp:revision>
  <cp:lastPrinted>2022-04-06T08:04:00Z</cp:lastPrinted>
  <dcterms:created xsi:type="dcterms:W3CDTF">2021-11-23T15:43:00Z</dcterms:created>
  <dcterms:modified xsi:type="dcterms:W3CDTF">2022-04-07T11:35:00Z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0x010100EF3E4C7D9B32CB48A1155CEF57466293</vt:lpwstr>
  </property>
</Properties>
</file>